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Cs/>
          <w:sz w:val="44"/>
          <w:szCs w:val="44"/>
        </w:rPr>
      </w:pPr>
      <w:r>
        <w:rPr>
          <w:rFonts w:hint="eastAsia" w:ascii="华文中宋" w:hAnsi="华文中宋" w:eastAsia="华文中宋" w:cs="华文中宋"/>
          <w:bCs/>
          <w:sz w:val="44"/>
          <w:szCs w:val="44"/>
        </w:rPr>
        <w:t>雷X、邹X等人“碰瓷”敲诈勒索案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华文中宋" w:hAnsi="华文中宋" w:eastAsia="华文中宋" w:cs="华文中宋"/>
          <w:bCs/>
          <w:sz w:val="44"/>
          <w:szCs w:val="44"/>
        </w:rPr>
      </w:pPr>
      <w:r>
        <w:rPr>
          <w:rFonts w:hint="eastAsia" w:ascii="华文中宋" w:hAnsi="华文中宋" w:eastAsia="华文中宋" w:cs="华文中宋"/>
          <w:bCs/>
          <w:sz w:val="44"/>
          <w:szCs w:val="44"/>
        </w:rPr>
        <w:t>案例分析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宋体" w:eastAsia="仿宋_GB2312"/>
          <w:b/>
          <w:sz w:val="32"/>
          <w:szCs w:val="32"/>
        </w:rPr>
      </w:pPr>
      <w:r>
        <w:rPr>
          <w:rFonts w:hint="eastAsia" w:ascii="仿宋_GB2312" w:hAnsi="宋体" w:eastAsia="仿宋_GB2312"/>
          <w:b/>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b/>
          <w:sz w:val="32"/>
          <w:szCs w:val="32"/>
        </w:rPr>
      </w:pPr>
      <w:r>
        <w:rPr>
          <w:rFonts w:hint="eastAsia" w:ascii="仿宋_GB2312" w:hAnsi="黑体" w:eastAsia="仿宋_GB2312"/>
          <w:sz w:val="32"/>
          <w:szCs w:val="32"/>
        </w:rPr>
        <w:t>【案情简介】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default" w:ascii="Times New Roman" w:hAnsi="Times New Roman" w:eastAsia="仿宋_GB2312" w:cs="Times New Roman"/>
          <w:sz w:val="32"/>
          <w:szCs w:val="32"/>
        </w:rPr>
        <w:t>2019</w:t>
      </w:r>
      <w:r>
        <w:rPr>
          <w:rFonts w:hint="eastAsia" w:ascii="仿宋_GB2312" w:hAnsi="宋体" w:eastAsia="仿宋_GB2312"/>
          <w:sz w:val="32"/>
          <w:szCs w:val="32"/>
        </w:rPr>
        <w:t>年</w:t>
      </w:r>
      <w:r>
        <w:rPr>
          <w:rFonts w:hint="default" w:ascii="Times New Roman" w:hAnsi="Times New Roman" w:eastAsia="仿宋_GB2312" w:cs="Times New Roman"/>
          <w:sz w:val="32"/>
          <w:szCs w:val="32"/>
        </w:rPr>
        <w:t>8</w:t>
      </w:r>
      <w:r>
        <w:rPr>
          <w:rFonts w:hint="eastAsia" w:ascii="仿宋_GB2312" w:hAnsi="宋体" w:eastAsia="仿宋_GB2312"/>
          <w:sz w:val="32"/>
          <w:szCs w:val="32"/>
        </w:rPr>
        <w:t>月以来，鹤山市公安局接到多起摩的司机报案，称其在搭客的过程中被乘客故意晃倒摩托车，然后要求到医院拍片住院治疗，在治疗过程中乘客打电话或者通过微信叫来其他同伙，一起向摩的司机索要钱财，金额通常在</w:t>
      </w:r>
      <w:r>
        <w:rPr>
          <w:rFonts w:hint="default" w:ascii="Times New Roman" w:hAnsi="Times New Roman" w:eastAsia="仿宋_GB2312" w:cs="Times New Roman"/>
          <w:sz w:val="32"/>
          <w:szCs w:val="32"/>
        </w:rPr>
        <w:t>3000</w:t>
      </w:r>
      <w:r>
        <w:rPr>
          <w:rFonts w:hint="eastAsia" w:ascii="仿宋_GB2312" w:hAnsi="宋体" w:eastAsia="仿宋_GB2312"/>
          <w:sz w:val="32"/>
          <w:szCs w:val="32"/>
        </w:rPr>
        <w:t>元至</w:t>
      </w:r>
      <w:r>
        <w:rPr>
          <w:rFonts w:hint="default" w:ascii="Times New Roman" w:hAnsi="Times New Roman" w:eastAsia="仿宋_GB2312" w:cs="Times New Roman"/>
          <w:sz w:val="32"/>
          <w:szCs w:val="32"/>
        </w:rPr>
        <w:t>20000</w:t>
      </w:r>
      <w:r>
        <w:rPr>
          <w:rFonts w:hint="eastAsia" w:ascii="仿宋_GB2312" w:hAnsi="宋体" w:eastAsia="仿宋_GB2312"/>
          <w:sz w:val="32"/>
          <w:szCs w:val="32"/>
        </w:rPr>
        <w:t>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经依法侦查查明：</w:t>
      </w:r>
      <w:r>
        <w:rPr>
          <w:rFonts w:hint="default" w:ascii="Times New Roman" w:hAnsi="Times New Roman" w:eastAsia="仿宋_GB2312" w:cs="Times New Roman"/>
          <w:sz w:val="32"/>
          <w:szCs w:val="32"/>
        </w:rPr>
        <w:t>2019</w:t>
      </w:r>
      <w:r>
        <w:rPr>
          <w:rFonts w:hint="eastAsia" w:ascii="仿宋_GB2312" w:hAnsi="宋体" w:eastAsia="仿宋_GB2312"/>
          <w:sz w:val="32"/>
          <w:szCs w:val="32"/>
        </w:rPr>
        <w:t>年下半年，以雷X、邹X为首要分子，其他人员为组织成员的恶势力犯罪集团，拉拢、利用未成年人，采用先将团伙中一人手指或者脚趾砸伤、再雇乘他人摩托车故意摔倒、而后假装摔伤需要就医的“</w:t>
      </w:r>
      <w:r>
        <w:rPr>
          <w:rFonts w:hint="eastAsia" w:ascii="宋体" w:hAnsi="宋体" w:cs="宋体"/>
          <w:sz w:val="32"/>
          <w:szCs w:val="32"/>
        </w:rPr>
        <w:t>踫</w:t>
      </w:r>
      <w:r>
        <w:rPr>
          <w:rFonts w:hint="eastAsia" w:ascii="仿宋_GB2312" w:hAnsi="宋体" w:eastAsia="仿宋_GB2312" w:cs="宋体"/>
          <w:sz w:val="32"/>
          <w:szCs w:val="32"/>
        </w:rPr>
        <w:t>瓷”手段，敲诈勒索被害人钱财，在鹤山市、中山市、佛山市、惠州市多次作案，造成恶劣的社会影响</w:t>
      </w:r>
      <w:r>
        <w:rPr>
          <w:rFonts w:hint="eastAsia" w:ascii="仿宋_GB2312" w:hAnsi="宋体"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宋体" w:eastAsia="仿宋_GB2312"/>
          <w:sz w:val="32"/>
          <w:szCs w:val="32"/>
        </w:rPr>
        <w:t>鹤山市公安局</w:t>
      </w:r>
      <w:r>
        <w:rPr>
          <w:rFonts w:hint="eastAsia" w:ascii="仿宋_GB2312" w:hAnsi="宋体" w:eastAsia="仿宋_GB2312"/>
          <w:sz w:val="32"/>
          <w:szCs w:val="32"/>
          <w:lang w:eastAsia="zh-CN"/>
        </w:rPr>
        <w:t>先后</w:t>
      </w:r>
      <w:r>
        <w:rPr>
          <w:rFonts w:hint="eastAsia" w:ascii="仿宋_GB2312" w:hAnsi="宋体" w:eastAsia="仿宋_GB2312"/>
          <w:sz w:val="32"/>
          <w:szCs w:val="32"/>
        </w:rPr>
        <w:t>抓获涉案犯罪嫌疑人</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0</w:t>
      </w:r>
      <w:r>
        <w:rPr>
          <w:rFonts w:hint="eastAsia" w:ascii="仿宋_GB2312" w:hAnsi="Times New Roman" w:eastAsia="仿宋_GB2312"/>
          <w:sz w:val="32"/>
          <w:szCs w:val="32"/>
        </w:rPr>
        <w:t>余</w:t>
      </w:r>
      <w:r>
        <w:rPr>
          <w:rFonts w:hint="eastAsia" w:ascii="仿宋_GB2312" w:hAnsi="宋体" w:eastAsia="仿宋_GB2312"/>
          <w:sz w:val="32"/>
          <w:szCs w:val="32"/>
        </w:rPr>
        <w:t>名，</w:t>
      </w:r>
      <w:r>
        <w:rPr>
          <w:rFonts w:hint="default" w:ascii="Times New Roman" w:hAnsi="Times New Roman" w:eastAsia="仿宋_GB2312" w:cs="Times New Roman"/>
          <w:sz w:val="32"/>
          <w:szCs w:val="32"/>
        </w:rPr>
        <w:t>2019</w:t>
      </w:r>
      <w:r>
        <w:rPr>
          <w:rFonts w:hint="eastAsia" w:ascii="仿宋_GB2312" w:hAnsi="宋体" w:eastAsia="仿宋_GB2312"/>
          <w:sz w:val="32"/>
          <w:szCs w:val="32"/>
        </w:rPr>
        <w:t>年</w:t>
      </w:r>
      <w:r>
        <w:rPr>
          <w:rFonts w:hint="default" w:ascii="Times New Roman" w:hAnsi="Times New Roman" w:eastAsia="仿宋_GB2312" w:cs="Times New Roman"/>
          <w:sz w:val="32"/>
          <w:szCs w:val="32"/>
        </w:rPr>
        <w:t>10</w:t>
      </w:r>
      <w:r>
        <w:rPr>
          <w:rFonts w:hint="eastAsia" w:ascii="仿宋_GB2312" w:hAnsi="宋体" w:eastAsia="仿宋_GB2312"/>
          <w:sz w:val="32"/>
          <w:szCs w:val="32"/>
        </w:rPr>
        <w:t>月</w:t>
      </w:r>
      <w:r>
        <w:rPr>
          <w:rFonts w:hint="default" w:ascii="Times New Roman" w:hAnsi="Times New Roman" w:eastAsia="仿宋_GB2312" w:cs="Times New Roman"/>
          <w:sz w:val="32"/>
          <w:szCs w:val="32"/>
        </w:rPr>
        <w:t>28</w:t>
      </w:r>
      <w:r>
        <w:rPr>
          <w:rFonts w:hint="eastAsia" w:ascii="仿宋_GB2312" w:hAnsi="宋体" w:eastAsia="仿宋_GB2312"/>
          <w:sz w:val="32"/>
          <w:szCs w:val="32"/>
        </w:rPr>
        <w:t>日鹤山市人民检察院</w:t>
      </w:r>
      <w:r>
        <w:rPr>
          <w:rFonts w:hint="eastAsia" w:ascii="仿宋_GB2312" w:hAnsi="宋体" w:eastAsia="仿宋_GB2312" w:cs="宋体"/>
          <w:sz w:val="32"/>
          <w:szCs w:val="32"/>
        </w:rPr>
        <w:t>依法批准逮捕</w:t>
      </w:r>
      <w:r>
        <w:rPr>
          <w:rFonts w:hint="eastAsia" w:ascii="仿宋_GB2312" w:hAnsi="宋体" w:eastAsia="仿宋_GB2312" w:cs="宋体"/>
          <w:sz w:val="32"/>
          <w:szCs w:val="32"/>
          <w:lang w:eastAsia="zh-CN"/>
        </w:rPr>
        <w:t>涉案人员</w:t>
      </w:r>
      <w:r>
        <w:rPr>
          <w:rFonts w:hint="eastAsia" w:ascii="仿宋_GB2312" w:hAnsi="宋体" w:eastAsia="仿宋_GB2312"/>
          <w:sz w:val="32"/>
          <w:szCs w:val="32"/>
        </w:rPr>
        <w:t>。鹤山市人民法院审理认定本案为恶势力犯罪集团，雷X、邹X利用未成年人实施敲诈勒索，依法从重处罚。</w:t>
      </w:r>
      <w:r>
        <w:rPr>
          <w:rFonts w:hint="default" w:ascii="Times New Roman" w:hAnsi="Times New Roman" w:eastAsia="仿宋_GB2312" w:cs="Times New Roman"/>
          <w:sz w:val="32"/>
          <w:szCs w:val="32"/>
        </w:rPr>
        <w:t>2020</w:t>
      </w:r>
      <w:r>
        <w:rPr>
          <w:rFonts w:hint="eastAsia" w:ascii="仿宋_GB2312" w:hAnsi="宋体" w:eastAsia="仿宋_GB2312"/>
          <w:sz w:val="32"/>
          <w:szCs w:val="32"/>
        </w:rPr>
        <w:t>年</w:t>
      </w:r>
      <w:r>
        <w:rPr>
          <w:rFonts w:hint="default" w:ascii="Times New Roman" w:hAnsi="Times New Roman" w:eastAsia="仿宋_GB2312" w:cs="Times New Roman"/>
          <w:sz w:val="32"/>
          <w:szCs w:val="32"/>
        </w:rPr>
        <w:t>9</w:t>
      </w:r>
      <w:r>
        <w:rPr>
          <w:rFonts w:hint="eastAsia" w:ascii="仿宋_GB2312" w:hAnsi="宋体" w:eastAsia="仿宋_GB2312"/>
          <w:sz w:val="32"/>
          <w:szCs w:val="32"/>
        </w:rPr>
        <w:t>月，雷X、邹X等人犯敲诈勒索罪分别被判处有期徒刑二年五个月至十个月不等的刑罚。</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黑体" w:eastAsia="仿宋_GB2312" w:cs="黑体"/>
          <w:b/>
          <w:bCs/>
          <w:sz w:val="32"/>
          <w:szCs w:val="32"/>
        </w:rPr>
      </w:pPr>
      <w:r>
        <w:rPr>
          <w:rFonts w:hint="eastAsia" w:ascii="仿宋_GB2312" w:hAnsi="仿宋_GB2312" w:eastAsia="仿宋_GB2312" w:cs="仿宋_GB2312"/>
          <w:sz w:val="32"/>
          <w:szCs w:val="32"/>
        </w:rPr>
        <w:t>【法律分析】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一、“恶势力”犯罪的认定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根据最高人民法院、最高人民检察院、公安部、司法部《关于办理黑恶势力犯罪案件若干问题的指导意见》的规定，“恶势力”是指经常纠集在一起，以暴力、威胁或者其他手段，在一定区域或者行业内多次实施违法犯罪活动，为非作恶，欺压百姓，扰乱经济、社会生活秩序，造成较为恶劣的社会影响，但尚未形成黑社会性质组织的违法犯罪组织。恶势力一般为三人以上，纠集者相对固定，违法犯罪活动主要为强迫交易、故意伤害、非法拘禁、敲诈勒索、故意毁坏财物、聚众斗殴、寻衅滋事等，同时还可能伴随其他犯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sz w:val="32"/>
          <w:szCs w:val="32"/>
        </w:rPr>
      </w:pPr>
      <w:r>
        <w:rPr>
          <w:rFonts w:hint="eastAsia" w:ascii="仿宋_GB2312" w:hAnsi="宋体" w:eastAsia="仿宋_GB2312"/>
          <w:sz w:val="32"/>
          <w:szCs w:val="32"/>
        </w:rPr>
        <w:t>本案中，雷X、邹X作为固定的、核心的纠集者，纠集同案人在鹤山、中山、佛山、惠州等地多次实施作案；成员组织架构明显，每次作案中，由谁扮演“伤者”、坐车人、谈判人、收款人均分工明确；该犯罪集团针对摩的行业司机多次实施敲诈勒索；雷X、邹X在“碰瓷”犯罪活动中拉拢、利用未成年人作案，并通过伤害未成年人的方式为犯罪创造条件，严重影响了未成年人的身心健康，并影响了当地摩</w:t>
      </w:r>
      <w:r>
        <w:rPr>
          <w:rFonts w:hint="eastAsia" w:ascii="仿宋_GB2312" w:hAnsi="宋体" w:eastAsia="仿宋_GB2312" w:cs="宋体"/>
          <w:sz w:val="32"/>
          <w:szCs w:val="32"/>
        </w:rPr>
        <w:t>托车司机的运营，造成了恶劣的社会影响，符合《关于办理黑恶势力犯罪案件若干问题的指导意见》规定的恶势力犯罪特征，是恶势力犯罪集团。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b/>
          <w:sz w:val="32"/>
          <w:szCs w:val="32"/>
        </w:rPr>
      </w:pPr>
      <w:r>
        <w:rPr>
          <w:rFonts w:hint="eastAsia" w:ascii="黑体" w:hAnsi="黑体" w:eastAsia="黑体" w:cs="黑体"/>
          <w:b w:val="0"/>
          <w:bCs/>
          <w:sz w:val="32"/>
          <w:szCs w:val="32"/>
        </w:rPr>
        <w:t>二、罪名的适用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在“碰瓷”犯罪案件中，涉及的罪名通常有诈骗罪、敲诈勒索罪、抢劫罪。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诈骗罪，是指以非法占有为目的，</w:t>
      </w:r>
      <w:r>
        <w:rPr>
          <w:rFonts w:hint="eastAsia" w:ascii="仿宋_GB2312" w:hAnsi="宋体" w:eastAsia="仿宋_GB2312" w:cs="宋体"/>
          <w:sz w:val="32"/>
          <w:szCs w:val="32"/>
        </w:rPr>
        <w:t>利用虚构事实或者隐瞒真相的方法，骗取数额较大的公私财物的行为</w:t>
      </w:r>
      <w:r>
        <w:rPr>
          <w:rFonts w:hint="eastAsia" w:ascii="仿宋_GB2312" w:hAnsi="宋体"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敲诈勒索罪，是指以非法占有为目的，采取恐吓、威胁或者要挟等手段，使被害人基于恐惧心理而交付财物的行为。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抢劫罪，是以非法占有为目的，对财物的所有人、保管人使用暴力、胁迫或者其他方法，当场劫走财物的行为。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本案中，在被害人搭载犯罪嫌疑人期间，犯罪嫌疑人故意倒地并自称受伤。雷X等人赶到现场恐吓被害人要求赔钱，被害人由于害怕而被迫支付赔偿款。雷X等人的行为虽然属于虚构倒地受伤的事实要求受害人赔偿，但是最终使用恐吓手段取得被害人财物，因此其行为应当以敲诈勒索罪进行定罪处罚。</w:t>
      </w:r>
    </w:p>
    <w:sectPr>
      <w:footerReference r:id="rId3" w:type="default"/>
      <w:pgSz w:w="11906" w:h="16838"/>
      <w:pgMar w:top="2098" w:right="1474" w:bottom="1984" w:left="1587" w:header="851" w:footer="992"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decorative"/>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381635" cy="197485"/>
              <wp:effectExtent l="0" t="0" r="0" b="0"/>
              <wp:wrapNone/>
              <wp:docPr id="1" name="文本框1"/>
              <wp:cNvGraphicFramePr/>
              <a:graphic xmlns:a="http://schemas.openxmlformats.org/drawingml/2006/main">
                <a:graphicData uri="http://schemas.microsoft.com/office/word/2010/wordprocessingShape">
                  <wps:wsp>
                    <wps:cNvSpPr txBox="1">
                      <a:spLocks noChangeArrowheads="1"/>
                    </wps:cNvSpPr>
                    <wps:spPr bwMode="auto">
                      <a:xfrm>
                        <a:off x="0" y="0"/>
                        <a:ext cx="381635" cy="197485"/>
                      </a:xfrm>
                      <a:prstGeom prst="rect">
                        <a:avLst/>
                      </a:prstGeom>
                      <a:noFill/>
                      <a:ln>
                        <a:noFill/>
                      </a:ln>
                    </wps:spPr>
                    <wps:txbx>
                      <w:txbxContent>
                        <w:p>
                          <w:pPr>
                            <w:pStyle w:val="3"/>
                            <w:jc w:val="right"/>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lang w:val="zh-CN"/>
                            </w:rPr>
                            <w:t>-</w:t>
                          </w:r>
                          <w:r>
                            <w:rPr>
                              <w:rFonts w:ascii="宋体" w:hAnsi="宋体" w:cs="宋体"/>
                              <w:sz w:val="24"/>
                              <w:szCs w:val="24"/>
                            </w:rPr>
                            <w:t xml:space="preserve"> 2 -</w:t>
                          </w:r>
                          <w:r>
                            <w:rPr>
                              <w:rFonts w:hint="eastAsia" w:ascii="宋体" w:hAnsi="宋体" w:cs="宋体"/>
                              <w:sz w:val="24"/>
                              <w:szCs w:val="24"/>
                              <w:lang w:val="zh-CN"/>
                            </w:rPr>
                            <w:fldChar w:fldCharType="end"/>
                          </w:r>
                        </w:p>
                      </w:txbxContent>
                    </wps:txbx>
                    <wps:bodyPr rot="0" vert="horz" wrap="none" lIns="0" tIns="0" rIns="0" bIns="0" anchor="t" anchorCtr="0" upright="1">
                      <a:spAutoFit/>
                    </wps:bodyPr>
                  </wps:wsp>
                </a:graphicData>
              </a:graphic>
            </wp:anchor>
          </w:drawing>
        </mc:Choice>
        <mc:Fallback>
          <w:pict>
            <v:shape id="文本框1" o:spid="_x0000_s1026" o:spt="202" type="#_x0000_t202" style="position:absolute;left:0pt;margin-top:0pt;height:15.55pt;width:30.05pt;mso-position-horizontal:center;mso-position-horizontal-relative:margin;mso-wrap-style:none;z-index:251658240;mso-width-relative:page;mso-height-relative:page;" filled="f" stroked="f" coordsize="21600,21600" o:gfxdata="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3bfW0dEA&#10;AAADAQAADwAAAAAAAAABACAAAAAiAAAAZHJzL2Rvd25yZXYueG1sUEsBAhQAFAAAAAgAh07iQJ4M&#10;HVrtAQAAswMAAA4AAAAAAAAAAQAgAAAAIAEAAGRycy9lMm9Eb2MueG1sUEsFBgAAAAAGAAYAWQEA&#10;AH8FAAAAAA==&#10;">
              <v:fill on="f" focussize="0,0"/>
              <v:stroke on="f"/>
              <v:imagedata o:title=""/>
              <o:lock v:ext="edit" aspectratio="f"/>
              <v:textbox inset="0mm,0mm,0mm,0mm" style="mso-fit-shape-to-text:t;">
                <w:txbxContent>
                  <w:p>
                    <w:pPr>
                      <w:pStyle w:val="3"/>
                      <w:jc w:val="right"/>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lang w:val="zh-CN"/>
                      </w:rPr>
                      <w:t>-</w:t>
                    </w:r>
                    <w:r>
                      <w:rPr>
                        <w:rFonts w:ascii="宋体" w:hAnsi="宋体" w:cs="宋体"/>
                        <w:sz w:val="24"/>
                        <w:szCs w:val="24"/>
                      </w:rPr>
                      <w:t xml:space="preserve"> 2 -</w:t>
                    </w:r>
                    <w:r>
                      <w:rPr>
                        <w:rFonts w:hint="eastAsia" w:ascii="宋体" w:hAnsi="宋体" w:cs="宋体"/>
                        <w:sz w:val="24"/>
                        <w:szCs w:val="24"/>
                        <w:lang w:val="zh-CN"/>
                      </w:rPr>
                      <w:fldChar w:fldCharType="end"/>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281"/>
    <w:rsid w:val="000264E0"/>
    <w:rsid w:val="000A354F"/>
    <w:rsid w:val="000F56D8"/>
    <w:rsid w:val="001C255A"/>
    <w:rsid w:val="003908D1"/>
    <w:rsid w:val="003A2281"/>
    <w:rsid w:val="003B3B14"/>
    <w:rsid w:val="004F3B05"/>
    <w:rsid w:val="006464BA"/>
    <w:rsid w:val="00710BF7"/>
    <w:rsid w:val="00747BEF"/>
    <w:rsid w:val="007D3B0D"/>
    <w:rsid w:val="00964B64"/>
    <w:rsid w:val="00985E32"/>
    <w:rsid w:val="00996EFB"/>
    <w:rsid w:val="00C251F4"/>
    <w:rsid w:val="00E31B4F"/>
    <w:rsid w:val="00EE6C73"/>
    <w:rsid w:val="00F639B4"/>
    <w:rsid w:val="00F64E68"/>
    <w:rsid w:val="00FD3899"/>
    <w:rsid w:val="2A9E0DF0"/>
    <w:rsid w:val="323C2610"/>
    <w:rsid w:val="626718A0"/>
    <w:rsid w:val="785D38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unhideWhenUsed/>
    <w:qFormat/>
    <w:uiPriority w:val="99"/>
    <w:rPr>
      <w:sz w:val="18"/>
      <w:szCs w:val="18"/>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semiHidden/>
    <w:uiPriority w:val="0"/>
    <w:rPr>
      <w:sz w:val="18"/>
      <w:szCs w:val="18"/>
    </w:rPr>
  </w:style>
  <w:style w:type="character" w:customStyle="1" w:styleId="8">
    <w:name w:val="页眉 Char"/>
    <w:basedOn w:val="6"/>
    <w:link w:val="4"/>
    <w:semiHidden/>
    <w:qFormat/>
    <w:uiPriority w:val="0"/>
    <w:rPr>
      <w:sz w:val="18"/>
      <w:szCs w:val="18"/>
    </w:rPr>
  </w:style>
  <w:style w:type="character" w:customStyle="1" w:styleId="9">
    <w:name w:val="批注框文本 Char"/>
    <w:basedOn w:val="6"/>
    <w:link w:val="2"/>
    <w:semiHidden/>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188</Words>
  <Characters>1076</Characters>
  <Lines>8</Lines>
  <Paragraphs>2</Paragraphs>
  <TotalTime>0</TotalTime>
  <ScaleCrop>false</ScaleCrop>
  <LinksUpToDate>false</LinksUpToDate>
  <CharactersWithSpaces>1262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2020-09-25T02:25:00Z</dcterms:created>
  <dc:creator>王梅</dc:creator>
  <cp:lastModifiedBy>陈诗芮</cp:lastModifiedBy>
  <cp:lastPrinted>2020-09-25T02:52:00Z</cp:lastPrinted>
  <dcterms:modified xsi:type="dcterms:W3CDTF">2020-09-25T09:06:42Z</dcterms:modified>
  <dc:title>鹤山市公安局办理雷鸣等人“碰瓷”系列案案例分析</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