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adjustRightInd w:val="0"/>
        <w:snapToGrid w:val="0"/>
        <w:spacing w:before="0" w:beforeLines="0" w:after="0" w:afterLines="0"/>
        <w:ind w:firstLine="5257" w:firstLineChars="1643"/>
        <w:jc w:val="both"/>
        <w:outlineLvl w:val="9"/>
        <w:rPr>
          <w:rFonts w:hint="eastAsia" w:ascii="仿宋_GB2312" w:hAnsi="仿宋_GB2312" w:eastAsia="仿宋_GB2312"/>
          <w:kern w:val="0"/>
          <w:sz w:val="32"/>
          <w:szCs w:val="32"/>
          <w:highlight w:val="none"/>
        </w:rPr>
      </w:pPr>
    </w:p>
    <w:p>
      <w:pPr>
        <w:pStyle w:val="8"/>
        <w:adjustRightInd w:val="0"/>
        <w:snapToGrid w:val="0"/>
        <w:spacing w:before="0" w:beforeLines="0" w:after="0" w:afterLines="0"/>
        <w:ind w:firstLine="5257" w:firstLineChars="1643"/>
        <w:jc w:val="both"/>
        <w:outlineLvl w:val="9"/>
        <w:rPr>
          <w:rFonts w:hint="eastAsia" w:ascii="仿宋_GB2312" w:hAnsi="仿宋_GB2312" w:eastAsia="仿宋_GB2312"/>
          <w:kern w:val="0"/>
          <w:sz w:val="32"/>
          <w:szCs w:val="32"/>
          <w:highlight w:val="none"/>
        </w:rPr>
      </w:pPr>
    </w:p>
    <w:p>
      <w:pPr>
        <w:pStyle w:val="8"/>
        <w:adjustRightInd w:val="0"/>
        <w:snapToGrid w:val="0"/>
        <w:spacing w:before="0" w:beforeLines="0" w:after="0" w:afterLines="0"/>
        <w:ind w:firstLine="5257" w:firstLineChars="1643"/>
        <w:jc w:val="both"/>
        <w:outlineLvl w:val="9"/>
        <w:rPr>
          <w:rFonts w:hint="eastAsia" w:ascii="仿宋_GB2312" w:hAnsi="仿宋_GB2312" w:eastAsia="仿宋_GB2312"/>
          <w:kern w:val="0"/>
          <w:sz w:val="32"/>
          <w:szCs w:val="32"/>
          <w:highlight w:val="none"/>
        </w:rPr>
      </w:pPr>
    </w:p>
    <w:p>
      <w:pPr>
        <w:pStyle w:val="8"/>
        <w:adjustRightInd w:val="0"/>
        <w:snapToGrid w:val="0"/>
        <w:spacing w:before="0" w:beforeLines="0" w:after="0" w:afterLines="0"/>
        <w:ind w:firstLine="5257" w:firstLineChars="1643"/>
        <w:jc w:val="both"/>
        <w:outlineLvl w:val="9"/>
        <w:rPr>
          <w:rFonts w:hint="eastAsia" w:ascii="仿宋_GB2312" w:hAnsi="仿宋_GB2312" w:eastAsia="仿宋_GB2312"/>
          <w:kern w:val="0"/>
          <w:sz w:val="32"/>
          <w:szCs w:val="32"/>
          <w:highlight w:val="none"/>
        </w:rPr>
      </w:pPr>
    </w:p>
    <w:p>
      <w:pPr>
        <w:pStyle w:val="8"/>
        <w:adjustRightInd w:val="0"/>
        <w:snapToGrid w:val="0"/>
        <w:spacing w:before="0" w:beforeLines="0" w:after="0" w:afterLines="0"/>
        <w:ind w:firstLine="0" w:firstLineChars="0"/>
        <w:jc w:val="right"/>
        <w:outlineLvl w:val="9"/>
        <w:rPr>
          <w:rFonts w:hint="eastAsia" w:ascii="方正大标宋简体" w:hAnsi="方正大标宋简体" w:eastAsia="方正大标宋简体" w:cs="方正大标宋简体"/>
          <w:bCs/>
          <w:color w:val="auto"/>
          <w:sz w:val="44"/>
          <w:szCs w:val="44"/>
          <w:highlight w:val="none"/>
        </w:rPr>
      </w:pPr>
      <w:r>
        <w:rPr>
          <w:rFonts w:hint="eastAsia" w:ascii="仿宋_GB2312" w:hAnsi="仿宋_GB2312" w:eastAsia="仿宋_GB2312"/>
          <w:kern w:val="0"/>
          <w:sz w:val="32"/>
          <w:szCs w:val="32"/>
          <w:highlight w:val="none"/>
        </w:rPr>
        <w:t>粤</w:t>
      </w:r>
      <w:r>
        <w:rPr>
          <w:rFonts w:hint="eastAsia" w:ascii="仿宋_GB2312" w:hAnsi="仿宋_GB2312" w:eastAsia="仿宋_GB2312"/>
          <w:kern w:val="0"/>
          <w:sz w:val="32"/>
          <w:szCs w:val="32"/>
          <w:highlight w:val="none"/>
          <w:lang w:val="en-US" w:eastAsia="zh-CN"/>
        </w:rPr>
        <w:t>商务救济</w:t>
      </w:r>
      <w:r>
        <w:rPr>
          <w:rFonts w:hint="eastAsia" w:ascii="仿宋_GB2312" w:hAnsi="仿宋_GB2312" w:eastAsia="仿宋_GB2312"/>
          <w:kern w:val="0"/>
          <w:sz w:val="32"/>
          <w:szCs w:val="32"/>
          <w:highlight w:val="none"/>
        </w:rPr>
        <w:t>函〔20</w:t>
      </w:r>
      <w:r>
        <w:rPr>
          <w:rFonts w:hint="eastAsia" w:ascii="仿宋_GB2312" w:hAnsi="仿宋_GB2312"/>
          <w:kern w:val="0"/>
          <w:sz w:val="32"/>
          <w:szCs w:val="32"/>
          <w:highlight w:val="none"/>
          <w:lang w:val="en-US" w:eastAsia="zh-CN"/>
        </w:rPr>
        <w:t>23</w:t>
      </w:r>
      <w:r>
        <w:rPr>
          <w:rFonts w:hint="eastAsia" w:ascii="仿宋_GB2312" w:hAnsi="仿宋_GB2312" w:eastAsia="仿宋_GB2312"/>
          <w:kern w:val="0"/>
          <w:sz w:val="32"/>
          <w:szCs w:val="32"/>
          <w:highlight w:val="none"/>
        </w:rPr>
        <w:t>〕</w:t>
      </w:r>
      <w:r>
        <w:rPr>
          <w:rFonts w:hint="eastAsia" w:ascii="仿宋_GB2312" w:hAnsi="仿宋_GB2312" w:eastAsia="仿宋_GB2312"/>
          <w:kern w:val="0"/>
          <w:sz w:val="32"/>
          <w:szCs w:val="32"/>
          <w:highlight w:val="none"/>
          <w:lang w:val="en-US" w:eastAsia="zh-CN"/>
        </w:rPr>
        <w:t>1</w:t>
      </w:r>
      <w:r>
        <w:rPr>
          <w:rFonts w:hint="eastAsia" w:ascii="仿宋_GB2312" w:hAnsi="仿宋_GB2312" w:eastAsia="仿宋_GB2312"/>
          <w:kern w:val="0"/>
          <w:sz w:val="32"/>
          <w:szCs w:val="32"/>
          <w:highlight w:val="none"/>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both"/>
        <w:textAlignment w:val="auto"/>
        <w:outlineLvl w:val="9"/>
        <w:rPr>
          <w:rFonts w:hint="eastAsia" w:ascii="方正大标宋简体" w:hAnsi="方正大标宋简体" w:eastAsia="方正大标宋简体" w:cs="方正大标宋简体"/>
          <w:bCs/>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center"/>
        <w:textAlignment w:val="auto"/>
        <w:outlineLvl w:val="9"/>
        <w:rPr>
          <w:rFonts w:hint="eastAsia" w:ascii="方正大标宋简体" w:hAnsi="方正大标宋简体" w:eastAsia="方正大标宋简体" w:cs="方正大标宋简体"/>
          <w:bCs/>
          <w:color w:val="auto"/>
          <w:sz w:val="44"/>
          <w:szCs w:val="44"/>
          <w:highlight w:val="none"/>
          <w:lang w:val="en-US" w:eastAsia="zh-CN"/>
        </w:rPr>
      </w:pPr>
      <w:r>
        <w:rPr>
          <w:rFonts w:hint="eastAsia" w:ascii="方正大标宋简体" w:hAnsi="方正大标宋简体" w:eastAsia="方正大标宋简体" w:cs="方正大标宋简体"/>
          <w:bCs/>
          <w:color w:val="auto"/>
          <w:sz w:val="44"/>
          <w:szCs w:val="44"/>
          <w:highlight w:val="none"/>
        </w:rPr>
        <w:t>广东省商务厅关于</w:t>
      </w:r>
      <w:r>
        <w:rPr>
          <w:rFonts w:hint="eastAsia" w:ascii="方正大标宋简体" w:hAnsi="方正大标宋简体" w:eastAsia="方正大标宋简体" w:cs="方正大标宋简体"/>
          <w:bCs/>
          <w:color w:val="auto"/>
          <w:sz w:val="44"/>
          <w:szCs w:val="44"/>
          <w:highlight w:val="none"/>
          <w:lang w:eastAsia="zh-CN"/>
        </w:rPr>
        <w:t>印发</w:t>
      </w:r>
      <w:r>
        <w:rPr>
          <w:rFonts w:hint="eastAsia" w:ascii="方正大标宋简体" w:hAnsi="方正大标宋简体" w:eastAsia="方正大标宋简体" w:cs="方正大标宋简体"/>
          <w:bCs/>
          <w:color w:val="auto"/>
          <w:sz w:val="44"/>
          <w:szCs w:val="44"/>
          <w:highlight w:val="none"/>
          <w:lang w:val="en-US" w:eastAsia="zh-CN"/>
        </w:rPr>
        <w:t>2023年中央外经贸</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center"/>
        <w:textAlignment w:val="auto"/>
        <w:outlineLvl w:val="9"/>
        <w:rPr>
          <w:rFonts w:hint="eastAsia" w:ascii="方正大标宋简体" w:hAnsi="方正大标宋简体" w:eastAsia="方正大标宋简体" w:cs="方正大标宋简体"/>
          <w:bCs/>
          <w:color w:val="auto"/>
          <w:sz w:val="44"/>
          <w:szCs w:val="44"/>
          <w:highlight w:val="none"/>
          <w:lang w:val="en-US" w:eastAsia="zh-CN"/>
        </w:rPr>
      </w:pPr>
      <w:r>
        <w:rPr>
          <w:rFonts w:hint="eastAsia" w:ascii="方正大标宋简体" w:hAnsi="方正大标宋简体" w:eastAsia="方正大标宋简体" w:cs="方正大标宋简体"/>
          <w:bCs/>
          <w:color w:val="auto"/>
          <w:sz w:val="44"/>
          <w:szCs w:val="44"/>
          <w:highlight w:val="none"/>
          <w:lang w:val="en-US" w:eastAsia="zh-CN"/>
        </w:rPr>
        <w:t>发展专项资金（应对贸易摩擦事项）</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center"/>
        <w:textAlignment w:val="auto"/>
        <w:outlineLvl w:val="9"/>
        <w:rPr>
          <w:rFonts w:hint="eastAsia" w:ascii="方正大标宋简体" w:hAnsi="方正大标宋简体" w:eastAsia="方正大标宋简体" w:cs="方正大标宋简体"/>
          <w:bCs/>
          <w:color w:val="auto"/>
          <w:sz w:val="44"/>
          <w:szCs w:val="44"/>
          <w:highlight w:val="none"/>
        </w:rPr>
      </w:pPr>
      <w:r>
        <w:rPr>
          <w:rFonts w:hint="eastAsia" w:ascii="方正大标宋简体" w:hAnsi="方正大标宋简体" w:eastAsia="方正大标宋简体" w:cs="方正大标宋简体"/>
          <w:b w:val="0"/>
          <w:bCs/>
          <w:color w:val="auto"/>
          <w:sz w:val="44"/>
          <w:szCs w:val="44"/>
          <w:highlight w:val="none"/>
          <w:u w:val="none"/>
          <w:lang w:val="en-US" w:eastAsia="zh-CN"/>
        </w:rPr>
        <w:t>申报指南</w:t>
      </w:r>
      <w:r>
        <w:rPr>
          <w:rFonts w:hint="eastAsia" w:ascii="方正大标宋简体" w:hAnsi="方正大标宋简体" w:eastAsia="方正大标宋简体" w:cs="方正大标宋简体"/>
          <w:bCs/>
          <w:color w:val="auto"/>
          <w:sz w:val="44"/>
          <w:szCs w:val="44"/>
          <w:highlight w:val="none"/>
          <w:lang w:val="en-US" w:eastAsia="zh-CN"/>
        </w:rPr>
        <w:t>的</w:t>
      </w:r>
      <w:r>
        <w:rPr>
          <w:rFonts w:hint="eastAsia" w:ascii="方正大标宋简体" w:hAnsi="方正大标宋简体" w:eastAsia="方正大标宋简体" w:cs="方正大标宋简体"/>
          <w:bCs/>
          <w:color w:val="auto"/>
          <w:sz w:val="44"/>
          <w:szCs w:val="44"/>
          <w:highlight w:val="none"/>
        </w:rPr>
        <w:t>通知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textAlignment w:val="auto"/>
        <w:outlineLvl w:val="9"/>
        <w:rPr>
          <w:rFonts w:hint="eastAsia" w:ascii="仿宋" w:hAnsi="仿宋" w:eastAsia="仿宋"/>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textAlignment w:val="auto"/>
        <w:outlineLvl w:val="9"/>
        <w:rPr>
          <w:rFonts w:hint="eastAsia" w:ascii="仿宋_GB2312" w:eastAsia="仿宋_GB2312"/>
          <w:color w:val="auto"/>
          <w:sz w:val="32"/>
          <w:highlight w:val="none"/>
          <w:u w:val="none"/>
          <w:lang w:eastAsia="zh-CN"/>
        </w:rPr>
      </w:pPr>
      <w:r>
        <w:rPr>
          <w:rFonts w:hint="eastAsia" w:ascii="仿宋_GB2312" w:hAnsi="仿宋_GB2312" w:eastAsia="仿宋_GB2312" w:cs="仿宋_GB2312"/>
          <w:color w:val="auto"/>
          <w:sz w:val="32"/>
          <w:szCs w:val="32"/>
          <w:highlight w:val="none"/>
          <w:u w:val="none"/>
        </w:rPr>
        <w:t>各</w:t>
      </w:r>
      <w:r>
        <w:rPr>
          <w:rFonts w:hint="eastAsia" w:ascii="仿宋_GB2312" w:eastAsia="仿宋_GB2312"/>
          <w:color w:val="auto"/>
          <w:sz w:val="32"/>
          <w:highlight w:val="none"/>
          <w:u w:val="none"/>
          <w:lang w:eastAsia="zh-CN"/>
        </w:rPr>
        <w:t>地级以上市商务局：</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eastAsia="仿宋_GB2312"/>
          <w:color w:val="auto"/>
          <w:sz w:val="32"/>
          <w:highlight w:val="none"/>
          <w:u w:val="none"/>
          <w:lang w:eastAsia="zh-CN"/>
        </w:rPr>
      </w:pPr>
      <w:r>
        <w:rPr>
          <w:rFonts w:hint="eastAsia" w:ascii="仿宋_GB2312" w:eastAsia="仿宋_GB2312"/>
          <w:color w:val="auto"/>
          <w:sz w:val="32"/>
          <w:highlight w:val="none"/>
          <w:u w:val="none"/>
          <w:lang w:eastAsia="zh-CN"/>
        </w:rPr>
        <w:t>《2023年中央外经贸发展专项资金（应对贸易摩擦事项）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0" w:firstLineChars="0"/>
        <w:jc w:val="both"/>
        <w:textAlignment w:val="auto"/>
        <w:outlineLvl w:val="9"/>
        <w:rPr>
          <w:rFonts w:hint="eastAsia" w:ascii="仿宋_GB2312" w:eastAsia="仿宋_GB2312"/>
          <w:color w:val="auto"/>
          <w:sz w:val="32"/>
          <w:highlight w:val="none"/>
          <w:u w:val="none"/>
          <w:lang w:eastAsia="zh-CN"/>
        </w:rPr>
      </w:pPr>
      <w:r>
        <w:rPr>
          <w:rFonts w:hint="eastAsia" w:ascii="仿宋_GB2312" w:eastAsia="仿宋_GB2312"/>
          <w:color w:val="auto"/>
          <w:sz w:val="32"/>
          <w:highlight w:val="none"/>
          <w:u w:val="none"/>
          <w:lang w:eastAsia="zh-CN"/>
        </w:rPr>
        <w:t>申报指南》（以下简称申报指南）业经审议通过</w:t>
      </w:r>
      <w:r>
        <w:rPr>
          <w:rFonts w:hint="eastAsia" w:ascii="仿宋_GB2312" w:eastAsia="仿宋_GB2312"/>
          <w:color w:val="auto"/>
          <w:sz w:val="32"/>
          <w:highlight w:val="none"/>
          <w:u w:val="none"/>
          <w:lang w:val="en-US" w:eastAsia="zh-CN"/>
        </w:rPr>
        <w:t>，现予印发。为做好申报和后续资金监管工作，现将有关要求通知如下</w:t>
      </w:r>
      <w:r>
        <w:rPr>
          <w:rFonts w:hint="eastAsia" w:ascii="仿宋_GB2312" w:eastAsia="仿宋_GB2312"/>
          <w:color w:val="auto"/>
          <w:sz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highlight w:val="none"/>
          <w:u w:val="none"/>
          <w:lang w:eastAsia="zh-CN"/>
        </w:rPr>
      </w:pPr>
      <w:r>
        <w:rPr>
          <w:rFonts w:hint="eastAsia" w:ascii="黑体" w:hAnsi="黑体" w:eastAsia="黑体" w:cs="黑体"/>
          <w:color w:val="auto"/>
          <w:sz w:val="32"/>
          <w:highlight w:val="none"/>
          <w:u w:val="none"/>
          <w:lang w:eastAsia="zh-CN"/>
        </w:rPr>
        <w:t>一、广泛发动企业申报</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请按要求及时做好本地区项目入库组织工作，广泛发动符合条件的企业申报，做到应知尽知、应报尽报。鼓励各市借助项目入库组织工作加强政策宣传，切实发挥资金的引导作用，促进企业在提高应诉积极性、总结应对经验、增强合规经营意识、提升风险防范能力等方面取得更大实效。</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szCs w:val="32"/>
          <w:highlight w:val="none"/>
          <w:u w:val="none"/>
          <w:lang w:eastAsia="zh-CN"/>
        </w:rPr>
      </w:pPr>
      <w:r>
        <w:rPr>
          <w:rFonts w:hint="eastAsia" w:ascii="黑体" w:hAnsi="黑体" w:eastAsia="黑体" w:cs="黑体"/>
          <w:color w:val="auto"/>
          <w:sz w:val="32"/>
          <w:szCs w:val="32"/>
          <w:highlight w:val="none"/>
          <w:u w:val="none"/>
          <w:lang w:eastAsia="zh-CN"/>
        </w:rPr>
        <w:t>二、认真遴选申报项目</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请切实履行审核把关职责，认真对照有关文件和申报指南要求，对项目申报材料进行审核、开展必要的现场核查，再结合日常工作掌握情况，推荐</w:t>
      </w:r>
      <w:r>
        <w:rPr>
          <w:rFonts w:hint="eastAsia" w:ascii="仿宋_GB2312" w:hAnsi="仿宋_GB2312" w:eastAsia="仿宋_GB2312" w:cs="仿宋_GB2312"/>
          <w:color w:val="auto"/>
          <w:sz w:val="32"/>
          <w:szCs w:val="32"/>
          <w:highlight w:val="none"/>
        </w:rPr>
        <w:t>符合申报条件和支持方向的项目</w:t>
      </w:r>
      <w:r>
        <w:rPr>
          <w:rFonts w:hint="eastAsia" w:ascii="仿宋_GB2312" w:hAnsi="仿宋_GB2312" w:eastAsia="仿宋_GB2312" w:cs="仿宋_GB2312"/>
          <w:color w:val="auto"/>
          <w:sz w:val="32"/>
          <w:szCs w:val="32"/>
          <w:highlight w:val="none"/>
          <w:lang w:eastAsia="zh-CN"/>
        </w:rPr>
        <w:t>入库。审核重点把握以下内容：</w:t>
      </w:r>
    </w:p>
    <w:p>
      <w:pPr>
        <w:keepNext w:val="0"/>
        <w:keepLines w:val="0"/>
        <w:pageBreakBefore w:val="0"/>
        <w:widowControl w:val="0"/>
        <w:numPr>
          <w:ilvl w:val="0"/>
          <w:numId w:val="1"/>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重点审核项目的真实性和是否重复申报。要通过对照权威信息等方式核实项目的真实性。对照指南认真审核申报项目是否曾经获得本专项资金支持，是否已经获得市级同类资金支持，排除对</w:t>
      </w:r>
      <w:r>
        <w:rPr>
          <w:rFonts w:hint="eastAsia" w:ascii="仿宋_GB2312" w:hAnsi="仿宋_GB2312" w:eastAsia="仿宋_GB2312" w:cs="仿宋_GB2312"/>
          <w:color w:val="auto"/>
          <w:sz w:val="32"/>
          <w:szCs w:val="32"/>
          <w:highlight w:val="none"/>
        </w:rPr>
        <w:t>同一项目的同一发生金额</w:t>
      </w:r>
      <w:r>
        <w:rPr>
          <w:rFonts w:hint="eastAsia" w:ascii="仿宋_GB2312" w:hAnsi="仿宋_GB2312" w:eastAsia="仿宋_GB2312" w:cs="仿宋_GB2312"/>
          <w:color w:val="auto"/>
          <w:sz w:val="32"/>
          <w:szCs w:val="32"/>
          <w:highlight w:val="none"/>
          <w:lang w:eastAsia="zh-CN"/>
        </w:rPr>
        <w:t>重复支持的情况。</w:t>
      </w:r>
    </w:p>
    <w:p>
      <w:pPr>
        <w:keepNext w:val="0"/>
        <w:keepLines w:val="0"/>
        <w:pageBreakBefore w:val="0"/>
        <w:widowControl w:val="0"/>
        <w:numPr>
          <w:ilvl w:val="0"/>
          <w:numId w:val="1"/>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重点审核申报材料的完整性、真实性、有效性。认真审核申报材料是否齐全，案件裁决结果在申报表、研究报告中是否体现，应（起）诉证明材料是否清晰、充分。核对材料是否真实有效，复印件与原件是否一致，涉外合同文件核心内容与中文翻译是否一致。</w:t>
      </w:r>
      <w:r>
        <w:rPr>
          <w:rFonts w:hint="eastAsia" w:ascii="仿宋_GB2312" w:hAnsi="仿宋_GB2312" w:eastAsia="仿宋_GB2312" w:cs="仿宋_GB2312"/>
          <w:color w:val="auto"/>
          <w:sz w:val="32"/>
          <w:szCs w:val="32"/>
          <w:highlight w:val="none"/>
        </w:rPr>
        <w:t>对于律师聘用合同、费用支付明细及相关凭证</w:t>
      </w:r>
      <w:r>
        <w:rPr>
          <w:rFonts w:hint="eastAsia" w:ascii="仿宋_GB2312" w:hAnsi="仿宋_GB2312" w:eastAsia="仿宋_GB2312" w:cs="仿宋_GB2312"/>
          <w:color w:val="auto"/>
          <w:sz w:val="32"/>
          <w:szCs w:val="32"/>
          <w:highlight w:val="none"/>
          <w:lang w:eastAsia="zh-CN"/>
        </w:rPr>
        <w:t>等重要材料</w:t>
      </w:r>
      <w:r>
        <w:rPr>
          <w:rFonts w:hint="eastAsia" w:ascii="仿宋_GB2312" w:hAnsi="仿宋_GB2312" w:eastAsia="仿宋_GB2312" w:cs="仿宋_GB2312"/>
          <w:color w:val="auto"/>
          <w:sz w:val="32"/>
          <w:szCs w:val="32"/>
          <w:highlight w:val="none"/>
        </w:rPr>
        <w:t>，要认真审核日期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金额等关键信息，</w:t>
      </w:r>
      <w:r>
        <w:rPr>
          <w:rFonts w:hint="eastAsia" w:ascii="仿宋_GB2312" w:hAnsi="仿宋_GB2312" w:eastAsia="仿宋_GB2312" w:cs="仿宋_GB2312"/>
          <w:color w:val="auto"/>
          <w:sz w:val="32"/>
          <w:szCs w:val="32"/>
          <w:highlight w:val="none"/>
          <w:lang w:eastAsia="zh-CN"/>
        </w:rPr>
        <w:t>从逻辑关系等分析企业应对案件实际支出的真实性、合理性。</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第三，认真研提支持建议。严格把握申报指南有关支持条件，准确核算符合条件发生金额，认真对照拟支持标准研究提出支持建议。重点审核已经获得市级同类资金支持的项目，其支持标准不超过相应类别的最高支持标准，且以符合条件的发生金额与市级支持金额之间的差额为限。</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三、严格遵守申报要求</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请于2023年3月1日前上报《</w:t>
      </w:r>
      <w:r>
        <w:rPr>
          <w:rFonts w:hint="eastAsia" w:ascii="仿宋_GB2312" w:eastAsia="仿宋_GB2312"/>
          <w:color w:val="auto"/>
          <w:sz w:val="32"/>
          <w:highlight w:val="none"/>
        </w:rPr>
        <w:t>中央财政202</w:t>
      </w:r>
      <w:r>
        <w:rPr>
          <w:rFonts w:hint="eastAsia" w:ascii="仿宋_GB2312" w:eastAsia="仿宋_GB2312"/>
          <w:color w:val="auto"/>
          <w:sz w:val="32"/>
          <w:highlight w:val="none"/>
          <w:lang w:eastAsia="zh-CN"/>
        </w:rPr>
        <w:t>3</w:t>
      </w:r>
      <w:r>
        <w:rPr>
          <w:rFonts w:hint="eastAsia" w:ascii="仿宋_GB2312" w:eastAsia="仿宋_GB2312"/>
          <w:color w:val="auto"/>
          <w:sz w:val="32"/>
          <w:highlight w:val="none"/>
        </w:rPr>
        <w:t>年度外经贸发展专项资金（应对贸易摩擦事项）</w:t>
      </w:r>
      <w:r>
        <w:rPr>
          <w:rFonts w:hint="eastAsia" w:ascii="仿宋_GB2312" w:eastAsia="仿宋_GB2312"/>
          <w:color w:val="auto"/>
          <w:sz w:val="32"/>
          <w:highlight w:val="none"/>
          <w:lang w:eastAsia="zh-CN"/>
        </w:rPr>
        <w:t>申报</w:t>
      </w:r>
      <w:r>
        <w:rPr>
          <w:rFonts w:hint="eastAsia" w:ascii="仿宋_GB2312" w:eastAsia="仿宋_GB2312"/>
          <w:color w:val="auto"/>
          <w:sz w:val="32"/>
          <w:highlight w:val="none"/>
        </w:rPr>
        <w:t>项目</w:t>
      </w:r>
      <w:r>
        <w:rPr>
          <w:rFonts w:hint="eastAsia" w:ascii="仿宋_GB2312" w:eastAsia="仿宋_GB2312"/>
          <w:color w:val="auto"/>
          <w:sz w:val="32"/>
          <w:highlight w:val="none"/>
          <w:lang w:eastAsia="zh-CN"/>
        </w:rPr>
        <w:t>初审意见汇总</w:t>
      </w:r>
      <w:r>
        <w:rPr>
          <w:rFonts w:hint="eastAsia" w:ascii="仿宋_GB2312" w:eastAsia="仿宋_GB2312"/>
          <w:color w:val="auto"/>
          <w:sz w:val="32"/>
          <w:highlight w:val="none"/>
        </w:rPr>
        <w:t>表</w:t>
      </w:r>
      <w:r>
        <w:rPr>
          <w:rFonts w:hint="eastAsia" w:ascii="仿宋_GB2312" w:hAnsi="Times New Roman" w:eastAsia="仿宋_GB2312" w:cs="Times New Roman"/>
          <w:color w:val="auto"/>
          <w:sz w:val="32"/>
          <w:szCs w:val="24"/>
          <w:highlight w:val="none"/>
          <w:u w:val="none"/>
          <w:lang w:val="en-US" w:eastAsia="zh-CN"/>
        </w:rPr>
        <w:t>》</w:t>
      </w:r>
      <w:r>
        <w:rPr>
          <w:rFonts w:hint="eastAsia" w:ascii="仿宋_GB2312" w:hAnsi="仿宋_GB2312" w:eastAsia="仿宋_GB2312" w:cs="仿宋_GB2312"/>
          <w:color w:val="auto"/>
          <w:sz w:val="32"/>
          <w:szCs w:val="32"/>
          <w:highlight w:val="none"/>
          <w:u w:val="none"/>
          <w:lang w:val="en-US" w:eastAsia="zh-CN"/>
        </w:rPr>
        <w:t>和申报资料，逾期不予受理。材料请同时提供纸质版和电子版，电子版刻录光盘随纸质材料一同报送。有关项目情况请及时抄送当地财政部门备案。为加强对中央财政外经贸发展专项资金和项目的全面、实时、动态监管，请同步通过外经贸发展专项资金网络管理系统（zxzj.mofcom.gov.cn）上报。系统申报情况将作为资金分配的重要依据。</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四、加强资金监督和绩效管理</w:t>
      </w: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highlight w:val="none"/>
          <w:u w:val="none"/>
          <w:lang w:val="en-US" w:eastAsia="zh-CN"/>
        </w:rPr>
        <w:t>请加强对本地区获得资助的项目资金使用进度、使用情况、区域绩效等的监督、检查和指导，确保资金在规定期限内拨付给相关企业，督促其在资金到位后按财务管理规定作相应的会计处理，建立健全项目和财务档案管理制度,持续跟踪项目绩效目标完成情况，做好项目绩效自评工作。自觉</w:t>
      </w:r>
      <w:r>
        <w:rPr>
          <w:rFonts w:hint="eastAsia" w:ascii="仿宋_GB2312" w:hAnsi="仿宋_GB2312" w:eastAsia="仿宋_GB2312" w:cs="仿宋_GB2312"/>
          <w:color w:val="auto"/>
          <w:sz w:val="32"/>
          <w:szCs w:val="32"/>
          <w:highlight w:val="none"/>
          <w:u w:val="none"/>
        </w:rPr>
        <w:t>接受</w:t>
      </w:r>
      <w:r>
        <w:rPr>
          <w:rFonts w:hint="eastAsia" w:ascii="仿宋_GB2312" w:hAnsi="仿宋_GB2312" w:eastAsia="仿宋_GB2312" w:cs="仿宋_GB2312"/>
          <w:color w:val="auto"/>
          <w:sz w:val="32"/>
          <w:szCs w:val="32"/>
          <w:highlight w:val="none"/>
          <w:u w:val="none"/>
          <w:lang w:eastAsia="zh-CN"/>
        </w:rPr>
        <w:t>商务部、财政部、</w:t>
      </w:r>
      <w:r>
        <w:rPr>
          <w:rFonts w:hint="eastAsia" w:ascii="仿宋_GB2312" w:hAnsi="仿宋_GB2312" w:eastAsia="仿宋_GB2312" w:cs="仿宋_GB2312"/>
          <w:color w:val="auto"/>
          <w:sz w:val="32"/>
          <w:szCs w:val="32"/>
          <w:highlight w:val="none"/>
          <w:u w:val="none"/>
        </w:rPr>
        <w:t>省商务厅、省财政厅</w:t>
      </w:r>
      <w:r>
        <w:rPr>
          <w:rFonts w:hint="eastAsia" w:ascii="仿宋_GB2312" w:hAnsi="仿宋_GB2312" w:eastAsia="仿宋_GB2312" w:cs="仿宋_GB2312"/>
          <w:color w:val="auto"/>
          <w:sz w:val="32"/>
          <w:szCs w:val="32"/>
          <w:highlight w:val="none"/>
          <w:u w:val="none"/>
          <w:lang w:eastAsia="zh-CN"/>
        </w:rPr>
        <w:t>及各级</w:t>
      </w:r>
      <w:r>
        <w:rPr>
          <w:rFonts w:hint="eastAsia" w:ascii="仿宋_GB2312" w:hAnsi="仿宋_GB2312" w:eastAsia="仿宋_GB2312" w:cs="仿宋_GB2312"/>
          <w:color w:val="auto"/>
          <w:sz w:val="32"/>
          <w:szCs w:val="32"/>
          <w:highlight w:val="none"/>
          <w:u w:val="none"/>
        </w:rPr>
        <w:t>审计部门</w:t>
      </w:r>
      <w:r>
        <w:rPr>
          <w:rFonts w:hint="eastAsia" w:ascii="仿宋_GB2312" w:hAnsi="仿宋_GB2312" w:eastAsia="仿宋_GB2312" w:cs="仿宋_GB2312"/>
          <w:color w:val="auto"/>
          <w:sz w:val="32"/>
          <w:szCs w:val="32"/>
          <w:highlight w:val="none"/>
          <w:u w:val="none"/>
          <w:lang w:eastAsia="zh-CN"/>
        </w:rPr>
        <w:t>等</w:t>
      </w:r>
      <w:r>
        <w:rPr>
          <w:rFonts w:hint="eastAsia" w:ascii="仿宋_GB2312" w:hAnsi="仿宋_GB2312" w:eastAsia="仿宋_GB2312" w:cs="仿宋_GB2312"/>
          <w:color w:val="auto"/>
          <w:sz w:val="32"/>
          <w:szCs w:val="32"/>
          <w:highlight w:val="none"/>
          <w:u w:val="none"/>
        </w:rPr>
        <w:t>对资金使用情况的监督</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检查</w:t>
      </w:r>
      <w:r>
        <w:rPr>
          <w:rFonts w:hint="eastAsia" w:ascii="仿宋_GB2312" w:hAnsi="仿宋_GB2312" w:eastAsia="仿宋_GB2312" w:cs="仿宋_GB2312"/>
          <w:color w:val="auto"/>
          <w:sz w:val="32"/>
          <w:szCs w:val="32"/>
          <w:highlight w:val="none"/>
          <w:u w:val="none"/>
          <w:lang w:eastAsia="zh-CN"/>
        </w:rPr>
        <w:t>和绩效评价；下达项目明细计划后每周报送资金拨付到位情况。项目资金要确保专款专用，任何单位不得挤占、</w:t>
      </w:r>
      <w:r>
        <w:rPr>
          <w:rFonts w:hint="eastAsia" w:ascii="仿宋_GB2312" w:hAnsi="仿宋_GB2312" w:eastAsia="仿宋_GB2312" w:cs="仿宋_GB2312"/>
          <w:color w:val="auto"/>
          <w:sz w:val="32"/>
          <w:szCs w:val="32"/>
          <w:highlight w:val="none"/>
          <w:u w:val="none"/>
        </w:rPr>
        <w:t>截留、挪用专项资金。对违反规定的单位</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按《财政违法行为处罚处分条例》（国务院令第427号）的相关</w:t>
      </w:r>
      <w:r>
        <w:rPr>
          <w:rFonts w:hint="eastAsia" w:ascii="仿宋_GB2312" w:hAnsi="仿宋_GB2312" w:eastAsia="仿宋_GB2312" w:cs="仿宋_GB2312"/>
          <w:color w:val="auto"/>
          <w:sz w:val="32"/>
          <w:szCs w:val="32"/>
          <w:highlight w:val="none"/>
          <w:u w:val="none"/>
        </w:rPr>
        <w:t>规定进行处理。</w:t>
      </w:r>
    </w:p>
    <w:p>
      <w:pPr>
        <w:keepNext w:val="0"/>
        <w:keepLines w:val="0"/>
        <w:pageBreakBefore w:val="0"/>
        <w:widowControl w:val="0"/>
        <w:numPr>
          <w:ilvl w:val="0"/>
          <w:numId w:val="2"/>
        </w:numPr>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黑体" w:hAnsi="黑体" w:eastAsia="黑体" w:cs="黑体"/>
          <w:color w:val="auto"/>
          <w:sz w:val="32"/>
          <w:szCs w:val="32"/>
          <w:highlight w:val="none"/>
          <w:u w:val="none"/>
          <w:lang w:eastAsia="zh-CN"/>
        </w:rPr>
      </w:pPr>
      <w:r>
        <w:rPr>
          <w:rFonts w:hint="eastAsia" w:ascii="黑体" w:hAnsi="黑体" w:eastAsia="黑体" w:cs="黑体"/>
          <w:color w:val="auto"/>
          <w:sz w:val="32"/>
          <w:szCs w:val="32"/>
          <w:highlight w:val="none"/>
          <w:u w:val="none"/>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鼓励深圳市结合财政计划单列体制，参照省里政策和支持力度自行组织实施。</w:t>
      </w: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s="仿宋_GB2312"/>
          <w:color w:val="auto"/>
          <w:sz w:val="32"/>
          <w:szCs w:val="32"/>
          <w:highlight w:val="none"/>
          <w:u w:val="none"/>
          <w:lang w:eastAsia="zh-CN"/>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附件：1.2023年中央外经贸发展专项资金（应对贸易摩擦</w:t>
      </w: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1942" w:firstLineChars="607"/>
        <w:textAlignment w:val="auto"/>
        <w:outlineLvl w:val="9"/>
        <w:rPr>
          <w:rFonts w:hint="eastAsia" w:ascii="仿宋_GB2312" w:eastAsia="仿宋_GB2312"/>
          <w:color w:val="auto"/>
          <w:sz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事项）申报指南</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1600" w:right="0" w:rightChars="0" w:firstLine="0" w:firstLineChars="0"/>
        <w:textAlignment w:val="auto"/>
        <w:outlineLvl w:val="9"/>
        <w:rPr>
          <w:rFonts w:hint="eastAsia" w:ascii="仿宋_GB2312" w:eastAsia="仿宋_GB2312"/>
          <w:color w:val="auto"/>
          <w:sz w:val="32"/>
          <w:highlight w:val="none"/>
        </w:rPr>
      </w:pPr>
      <w:r>
        <w:rPr>
          <w:rFonts w:hint="eastAsia" w:ascii="仿宋_GB2312" w:eastAsia="仿宋_GB2312"/>
          <w:color w:val="auto"/>
          <w:sz w:val="32"/>
          <w:highlight w:val="none"/>
          <w:u w:val="none"/>
          <w:lang w:val="en-US" w:eastAsia="zh-CN"/>
        </w:rPr>
        <w:t>2.</w:t>
      </w:r>
      <w:r>
        <w:rPr>
          <w:rFonts w:hint="eastAsia" w:ascii="仿宋_GB2312" w:eastAsia="仿宋_GB2312"/>
          <w:color w:val="auto"/>
          <w:sz w:val="32"/>
          <w:highlight w:val="none"/>
        </w:rPr>
        <w:t>中央财政202</w:t>
      </w:r>
      <w:r>
        <w:rPr>
          <w:rFonts w:hint="eastAsia" w:ascii="仿宋_GB2312" w:eastAsia="仿宋_GB2312"/>
          <w:color w:val="auto"/>
          <w:sz w:val="32"/>
          <w:highlight w:val="none"/>
          <w:lang w:eastAsia="zh-CN"/>
        </w:rPr>
        <w:t>3</w:t>
      </w:r>
      <w:r>
        <w:rPr>
          <w:rFonts w:hint="eastAsia" w:ascii="仿宋_GB2312" w:eastAsia="仿宋_GB2312"/>
          <w:color w:val="auto"/>
          <w:sz w:val="32"/>
          <w:highlight w:val="none"/>
        </w:rPr>
        <w:t>年度外经贸发展专项资金（应对贸</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1600" w:right="0" w:rightChars="0" w:firstLine="320" w:firstLineChars="100"/>
        <w:textAlignment w:val="auto"/>
        <w:outlineLvl w:val="9"/>
        <w:rPr>
          <w:rFonts w:hint="eastAsia" w:ascii="仿宋_GB2312" w:eastAsia="仿宋_GB2312"/>
          <w:color w:val="auto"/>
          <w:sz w:val="32"/>
          <w:highlight w:val="none"/>
        </w:rPr>
      </w:pPr>
      <w:r>
        <w:rPr>
          <w:rFonts w:hint="eastAsia" w:ascii="仿宋_GB2312" w:eastAsia="仿宋_GB2312"/>
          <w:color w:val="auto"/>
          <w:sz w:val="32"/>
          <w:highlight w:val="none"/>
        </w:rPr>
        <w:t>易摩擦事项）</w:t>
      </w:r>
      <w:r>
        <w:rPr>
          <w:rFonts w:hint="eastAsia" w:ascii="仿宋_GB2312" w:eastAsia="仿宋_GB2312"/>
          <w:color w:val="auto"/>
          <w:sz w:val="32"/>
          <w:highlight w:val="none"/>
          <w:lang w:eastAsia="zh-CN"/>
        </w:rPr>
        <w:t>申报</w:t>
      </w:r>
      <w:r>
        <w:rPr>
          <w:rFonts w:hint="eastAsia" w:ascii="仿宋_GB2312" w:eastAsia="仿宋_GB2312"/>
          <w:color w:val="auto"/>
          <w:sz w:val="32"/>
          <w:highlight w:val="none"/>
        </w:rPr>
        <w:t>项目</w:t>
      </w:r>
      <w:r>
        <w:rPr>
          <w:rFonts w:hint="eastAsia" w:ascii="仿宋_GB2312" w:eastAsia="仿宋_GB2312"/>
          <w:color w:val="auto"/>
          <w:sz w:val="32"/>
          <w:highlight w:val="none"/>
          <w:lang w:eastAsia="zh-CN"/>
        </w:rPr>
        <w:t>初审意见汇总</w:t>
      </w:r>
      <w:r>
        <w:rPr>
          <w:rFonts w:hint="eastAsia" w:ascii="仿宋_GB2312" w:eastAsia="仿宋_GB2312"/>
          <w:color w:val="auto"/>
          <w:sz w:val="32"/>
          <w:highlight w:val="none"/>
        </w:rPr>
        <w:t>表</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1600" w:right="0" w:rightChars="0" w:firstLine="320" w:firstLineChars="100"/>
        <w:textAlignment w:val="auto"/>
        <w:outlineLvl w:val="9"/>
        <w:rPr>
          <w:rFonts w:hint="eastAsia" w:ascii="仿宋_GB2312" w:eastAsia="仿宋_GB2312"/>
          <w:color w:val="auto"/>
          <w:sz w:val="32"/>
          <w:highlight w:val="none"/>
          <w:lang w:val="en-US" w:eastAsia="zh-CN"/>
        </w:rPr>
      </w:pPr>
      <w:r>
        <w:rPr>
          <w:rFonts w:hint="eastAsia" w:ascii="仿宋_GB2312" w:eastAsia="仿宋_GB2312"/>
          <w:color w:val="auto"/>
          <w:sz w:val="32"/>
          <w:highlight w:val="none"/>
          <w:lang w:val="en-US" w:eastAsia="zh-CN"/>
        </w:rPr>
        <w:t xml:space="preserve">                     广东省商务厅</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1600" w:right="0" w:rightChars="0" w:firstLine="320" w:firstLineChars="100"/>
        <w:textAlignment w:val="auto"/>
        <w:outlineLvl w:val="9"/>
        <w:rPr>
          <w:rFonts w:hint="eastAsia" w:ascii="仿宋_GB2312" w:eastAsia="仿宋_GB2312"/>
          <w:color w:val="auto"/>
          <w:sz w:val="32"/>
          <w:highlight w:val="none"/>
          <w:lang w:val="en-US" w:eastAsia="zh-CN"/>
        </w:rPr>
      </w:pPr>
      <w:r>
        <w:rPr>
          <w:rFonts w:hint="eastAsia" w:ascii="仿宋_GB2312" w:eastAsia="仿宋_GB2312"/>
          <w:color w:val="auto"/>
          <w:sz w:val="32"/>
          <w:highlight w:val="none"/>
          <w:lang w:val="en-US" w:eastAsia="zh-CN"/>
        </w:rPr>
        <w:t xml:space="preserve">                   2023年1月   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640" w:firstLineChars="200"/>
        <w:jc w:val="center"/>
        <w:textAlignment w:val="auto"/>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sz w:val="32"/>
          <w:szCs w:val="32"/>
          <w:highlight w:val="none"/>
          <w:u w:val="none"/>
          <w:lang w:eastAsia="zh-CN"/>
        </w:rPr>
        <w:t>（联系人及电话：林菲静</w:t>
      </w:r>
      <w:r>
        <w:rPr>
          <w:rFonts w:hint="eastAsia" w:ascii="仿宋_GB2312" w:hAnsi="仿宋_GB2312" w:eastAsia="仿宋_GB2312" w:cs="仿宋_GB2312"/>
          <w:color w:val="auto"/>
          <w:sz w:val="32"/>
          <w:szCs w:val="32"/>
          <w:highlight w:val="none"/>
          <w:u w:val="none"/>
          <w:lang w:val="en-US" w:eastAsia="zh-CN"/>
        </w:rPr>
        <w:t xml:space="preserve"> 020-38819959</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560" w:firstLineChars="200"/>
        <w:textAlignment w:val="auto"/>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抄送：厅财务处、贸易救济与产业损害调查处。       [共印2份]</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0" w:firstLineChars="0"/>
        <w:textAlignment w:val="auto"/>
        <w:outlineLvl w:val="9"/>
        <w:rPr>
          <w:rFonts w:hint="eastAsia" w:ascii="黑体" w:hAnsi="黑体" w:eastAsia="黑体" w:cs="黑体"/>
          <w:color w:val="auto"/>
          <w:sz w:val="32"/>
          <w:u w:val="none"/>
          <w:lang w:val="en-US" w:eastAsia="zh-CN"/>
        </w:rPr>
      </w:pPr>
      <w:r>
        <w:rPr>
          <w:rFonts w:hint="eastAsia" w:ascii="黑体" w:hAnsi="黑体" w:eastAsia="黑体" w:cs="黑体"/>
          <w:color w:val="auto"/>
          <w:sz w:val="32"/>
          <w:u w:val="none"/>
          <w:lang w:eastAsia="zh-CN"/>
        </w:rPr>
        <w:t>附件</w:t>
      </w:r>
      <w:r>
        <w:rPr>
          <w:rFonts w:hint="eastAsia" w:ascii="黑体" w:hAnsi="黑体" w:eastAsia="黑体" w:cs="黑体"/>
          <w:color w:val="auto"/>
          <w:sz w:val="32"/>
          <w:u w:val="none"/>
          <w:lang w:val="en-US" w:eastAsia="zh-CN"/>
        </w:rPr>
        <w:t>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640" w:firstLineChars="200"/>
        <w:textAlignment w:val="auto"/>
        <w:outlineLvl w:val="9"/>
        <w:rPr>
          <w:rFonts w:hint="eastAsia" w:ascii="仿宋_GB2312" w:eastAsia="仿宋_GB2312"/>
          <w:color w:val="auto"/>
          <w:sz w:val="32"/>
          <w:u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0" w:firstLineChars="0"/>
        <w:jc w:val="center"/>
        <w:textAlignment w:val="auto"/>
        <w:outlineLvl w:val="9"/>
        <w:rPr>
          <w:rFonts w:hint="eastAsia" w:ascii="方正大标宋简体" w:hAnsi="方正大标宋简体" w:eastAsia="方正大标宋简体" w:cs="方正大标宋简体"/>
          <w:color w:val="auto"/>
          <w:sz w:val="44"/>
          <w:szCs w:val="44"/>
          <w:highlight w:val="none"/>
          <w:u w:val="none"/>
          <w:lang w:val="en-US" w:eastAsia="zh-CN"/>
        </w:rPr>
      </w:pPr>
      <w:r>
        <w:rPr>
          <w:rFonts w:hint="eastAsia" w:ascii="方正大标宋简体" w:hAnsi="方正大标宋简体" w:eastAsia="方正大标宋简体" w:cs="方正大标宋简体"/>
          <w:color w:val="auto"/>
          <w:sz w:val="44"/>
          <w:szCs w:val="44"/>
          <w:highlight w:val="none"/>
          <w:u w:val="none"/>
          <w:lang w:val="en-US" w:eastAsia="zh-CN"/>
        </w:rPr>
        <w:t>2023年中央外经贸发展专项资金</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0" w:firstLineChars="0"/>
        <w:jc w:val="center"/>
        <w:textAlignment w:val="auto"/>
        <w:outlineLvl w:val="9"/>
        <w:rPr>
          <w:rFonts w:hint="eastAsia" w:ascii="方正大标宋简体" w:hAnsi="方正大标宋简体" w:eastAsia="方正大标宋简体" w:cs="方正大标宋简体"/>
          <w:color w:val="auto"/>
          <w:sz w:val="44"/>
          <w:szCs w:val="44"/>
          <w:highlight w:val="none"/>
          <w:u w:val="none"/>
          <w:lang w:val="en-US" w:eastAsia="zh-CN"/>
        </w:rPr>
      </w:pPr>
      <w:r>
        <w:rPr>
          <w:rFonts w:hint="eastAsia" w:ascii="方正大标宋简体" w:hAnsi="方正大标宋简体" w:eastAsia="方正大标宋简体" w:cs="方正大标宋简体"/>
          <w:color w:val="auto"/>
          <w:sz w:val="44"/>
          <w:szCs w:val="44"/>
          <w:highlight w:val="none"/>
          <w:u w:val="none"/>
          <w:lang w:val="en-US" w:eastAsia="zh-CN"/>
        </w:rPr>
        <w:t>（应对贸易摩擦事项）申报指南</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仿宋_GB2312" w:eastAsia="仿宋_GB2312"/>
          <w:color w:val="auto"/>
          <w:sz w:val="32"/>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szCs w:val="32"/>
          <w:u w:val="none"/>
          <w:lang w:eastAsia="zh-CN"/>
        </w:rPr>
      </w:pPr>
      <w:r>
        <w:rPr>
          <w:rFonts w:hint="eastAsia" w:ascii="仿宋_GB2312" w:eastAsia="仿宋_GB2312"/>
          <w:color w:val="auto"/>
          <w:sz w:val="32"/>
          <w:highlight w:val="none"/>
          <w:u w:val="none"/>
          <w:lang w:eastAsia="zh-CN"/>
        </w:rPr>
        <w:t>为做好</w:t>
      </w:r>
      <w:r>
        <w:rPr>
          <w:rFonts w:hint="eastAsia" w:ascii="仿宋_GB2312" w:eastAsia="仿宋_GB2312"/>
          <w:color w:val="auto"/>
          <w:sz w:val="32"/>
          <w:highlight w:val="none"/>
          <w:u w:val="none"/>
          <w:lang w:val="en-US" w:eastAsia="zh-CN"/>
        </w:rPr>
        <w:t>2023年中央外经贸发展专项资金</w:t>
      </w:r>
      <w:r>
        <w:rPr>
          <w:rFonts w:hint="eastAsia" w:ascii="仿宋_GB2312" w:eastAsia="仿宋_GB2312"/>
          <w:color w:val="auto"/>
          <w:sz w:val="32"/>
          <w:highlight w:val="none"/>
          <w:u w:val="none"/>
          <w:lang w:eastAsia="zh-CN"/>
        </w:rPr>
        <w:t>（应对贸易摩擦事项）项目入库储备工作，</w:t>
      </w:r>
      <w:r>
        <w:rPr>
          <w:rFonts w:hint="eastAsia" w:ascii="仿宋_GB2312" w:eastAsia="仿宋_GB2312"/>
          <w:color w:val="auto"/>
          <w:sz w:val="32"/>
          <w:u w:val="none"/>
          <w:lang w:val="en-US" w:eastAsia="zh-CN"/>
        </w:rPr>
        <w:t>根据</w:t>
      </w:r>
      <w:r>
        <w:rPr>
          <w:rFonts w:hint="eastAsia" w:ascii="仿宋_GB2312" w:eastAsia="仿宋_GB2312"/>
          <w:color w:val="auto"/>
          <w:sz w:val="32"/>
          <w:u w:val="none"/>
          <w:lang w:eastAsia="zh-CN"/>
        </w:rPr>
        <w:t>《财政部</w:t>
      </w:r>
      <w:r>
        <w:rPr>
          <w:rFonts w:hint="eastAsia" w:ascii="仿宋_GB2312" w:eastAsia="仿宋_GB2312"/>
          <w:color w:val="auto"/>
          <w:sz w:val="32"/>
          <w:u w:val="none"/>
          <w:lang w:val="en-US" w:eastAsia="zh-CN"/>
        </w:rPr>
        <w:t xml:space="preserve"> 商务部关于印发</w:t>
      </w:r>
      <w:r>
        <w:rPr>
          <w:rFonts w:hint="eastAsia" w:ascii="仿宋_GB2312" w:eastAsia="仿宋_GB2312"/>
          <w:color w:val="auto"/>
          <w:sz w:val="32"/>
          <w:u w:val="none"/>
          <w:lang w:val="en-US" w:eastAsia="zh"/>
        </w:rPr>
        <w:t>&lt;</w:t>
      </w:r>
      <w:r>
        <w:rPr>
          <w:rFonts w:hint="eastAsia" w:ascii="仿宋_GB2312" w:eastAsia="仿宋_GB2312"/>
          <w:b w:val="0"/>
          <w:bCs w:val="0"/>
          <w:color w:val="auto"/>
          <w:sz w:val="32"/>
          <w:u w:val="none"/>
          <w:lang w:eastAsia="zh-CN"/>
        </w:rPr>
        <w:t>外经贸发展专项资金管理办法</w:t>
      </w:r>
      <w:r>
        <w:rPr>
          <w:rFonts w:hint="eastAsia" w:ascii="仿宋_GB2312" w:eastAsia="仿宋_GB2312"/>
          <w:b w:val="0"/>
          <w:bCs w:val="0"/>
          <w:color w:val="auto"/>
          <w:sz w:val="32"/>
          <w:u w:val="none"/>
          <w:lang w:val="en-US" w:eastAsia="zh"/>
        </w:rPr>
        <w:t>&gt;</w:t>
      </w:r>
      <w:r>
        <w:rPr>
          <w:rFonts w:hint="eastAsia" w:ascii="仿宋_GB2312" w:eastAsia="仿宋_GB2312"/>
          <w:b w:val="0"/>
          <w:bCs w:val="0"/>
          <w:color w:val="auto"/>
          <w:sz w:val="32"/>
          <w:u w:val="none"/>
          <w:lang w:eastAsia="zh-CN"/>
        </w:rPr>
        <w:t>的通知</w:t>
      </w:r>
      <w:r>
        <w:rPr>
          <w:rFonts w:hint="eastAsia" w:ascii="仿宋_GB2312" w:eastAsia="仿宋_GB2312"/>
          <w:color w:val="auto"/>
          <w:sz w:val="32"/>
          <w:u w:val="none"/>
          <w:lang w:eastAsia="zh-CN"/>
        </w:rPr>
        <w:t>》</w:t>
      </w:r>
      <w:r>
        <w:rPr>
          <w:rFonts w:hint="eastAsia" w:ascii="仿宋_GB2312" w:eastAsia="仿宋_GB2312"/>
          <w:b w:val="0"/>
          <w:bCs w:val="0"/>
          <w:color w:val="auto"/>
          <w:sz w:val="32"/>
          <w:u w:val="none"/>
          <w:lang w:eastAsia="zh-CN"/>
        </w:rPr>
        <w:t>（财建〔20</w:t>
      </w:r>
      <w:r>
        <w:rPr>
          <w:rFonts w:hint="eastAsia" w:ascii="仿宋_GB2312" w:eastAsia="仿宋_GB2312"/>
          <w:b w:val="0"/>
          <w:bCs w:val="0"/>
          <w:color w:val="auto"/>
          <w:sz w:val="32"/>
          <w:u w:val="none"/>
          <w:lang w:val="en-US" w:eastAsia="zh-CN"/>
        </w:rPr>
        <w:t>22</w:t>
      </w:r>
      <w:r>
        <w:rPr>
          <w:rFonts w:hint="eastAsia" w:ascii="仿宋_GB2312" w:eastAsia="仿宋_GB2312"/>
          <w:b w:val="0"/>
          <w:bCs w:val="0"/>
          <w:color w:val="auto"/>
          <w:sz w:val="32"/>
          <w:u w:val="none"/>
          <w:lang w:eastAsia="zh-CN"/>
        </w:rPr>
        <w:t>〕</w:t>
      </w:r>
      <w:r>
        <w:rPr>
          <w:rFonts w:hint="eastAsia" w:ascii="仿宋_GB2312" w:eastAsia="仿宋_GB2312"/>
          <w:b w:val="0"/>
          <w:bCs w:val="0"/>
          <w:color w:val="auto"/>
          <w:sz w:val="32"/>
          <w:u w:val="none"/>
          <w:lang w:val="en-US" w:eastAsia="zh-CN"/>
        </w:rPr>
        <w:t>3号</w:t>
      </w:r>
      <w:r>
        <w:rPr>
          <w:rFonts w:hint="eastAsia" w:ascii="仿宋_GB2312" w:eastAsia="仿宋_GB2312"/>
          <w:b w:val="0"/>
          <w:bCs w:val="0"/>
          <w:color w:val="auto"/>
          <w:sz w:val="32"/>
          <w:u w:val="none"/>
          <w:lang w:eastAsia="zh-CN"/>
        </w:rPr>
        <w:t>）《广东省财政厅</w:t>
      </w:r>
      <w:r>
        <w:rPr>
          <w:rFonts w:hint="eastAsia" w:ascii="仿宋_GB2312" w:eastAsia="仿宋_GB2312"/>
          <w:b w:val="0"/>
          <w:bCs w:val="0"/>
          <w:color w:val="auto"/>
          <w:sz w:val="32"/>
          <w:u w:val="none"/>
          <w:lang w:val="en-US" w:eastAsia="zh-CN"/>
        </w:rPr>
        <w:t xml:space="preserve"> 广东省商务厅关于印发</w:t>
      </w:r>
      <w:r>
        <w:rPr>
          <w:rFonts w:hint="eastAsia" w:ascii="仿宋_GB2312" w:eastAsia="仿宋_GB2312"/>
          <w:b w:val="0"/>
          <w:bCs w:val="0"/>
          <w:color w:val="auto"/>
          <w:sz w:val="32"/>
          <w:u w:val="none"/>
          <w:lang w:val="en-US" w:eastAsia="zh"/>
        </w:rPr>
        <w:t>&lt;</w:t>
      </w:r>
      <w:r>
        <w:rPr>
          <w:rFonts w:hint="eastAsia" w:ascii="仿宋_GB2312" w:eastAsia="仿宋_GB2312"/>
          <w:b w:val="0"/>
          <w:bCs w:val="0"/>
          <w:color w:val="auto"/>
          <w:sz w:val="32"/>
          <w:u w:val="none"/>
          <w:lang w:eastAsia="zh-CN"/>
        </w:rPr>
        <w:t>广东省外经贸发展专项资金管理办法实施细则（</w:t>
      </w:r>
      <w:r>
        <w:rPr>
          <w:rFonts w:hint="eastAsia" w:ascii="仿宋_GB2312" w:eastAsia="仿宋_GB2312"/>
          <w:b w:val="0"/>
          <w:bCs w:val="0"/>
          <w:color w:val="auto"/>
          <w:sz w:val="32"/>
          <w:u w:val="none"/>
          <w:lang w:val="en-US" w:eastAsia="zh-CN"/>
        </w:rPr>
        <w:t>2015年修订</w:t>
      </w:r>
      <w:r>
        <w:rPr>
          <w:rFonts w:hint="eastAsia" w:ascii="仿宋_GB2312" w:eastAsia="仿宋_GB2312"/>
          <w:b w:val="0"/>
          <w:bCs w:val="0"/>
          <w:color w:val="auto"/>
          <w:sz w:val="32"/>
          <w:u w:val="none"/>
          <w:lang w:eastAsia="zh-CN"/>
        </w:rPr>
        <w:t>）</w:t>
      </w:r>
      <w:r>
        <w:rPr>
          <w:rFonts w:hint="eastAsia" w:ascii="仿宋_GB2312" w:eastAsia="仿宋_GB2312"/>
          <w:b w:val="0"/>
          <w:bCs w:val="0"/>
          <w:color w:val="auto"/>
          <w:sz w:val="32"/>
          <w:u w:val="none"/>
          <w:lang w:val="en-US" w:eastAsia="zh-CN"/>
        </w:rPr>
        <w:t>&gt;</w:t>
      </w:r>
      <w:r>
        <w:rPr>
          <w:rFonts w:hint="eastAsia" w:ascii="仿宋_GB2312" w:eastAsia="仿宋_GB2312"/>
          <w:b w:val="0"/>
          <w:bCs w:val="0"/>
          <w:color w:val="auto"/>
          <w:sz w:val="32"/>
          <w:u w:val="none"/>
          <w:lang w:eastAsia="zh-CN"/>
        </w:rPr>
        <w:t>的通知》（粤</w:t>
      </w:r>
      <w:r>
        <w:rPr>
          <w:rFonts w:hint="eastAsia" w:ascii="仿宋_GB2312" w:eastAsia="仿宋_GB2312"/>
          <w:b w:val="0"/>
          <w:bCs w:val="0"/>
          <w:color w:val="auto"/>
          <w:sz w:val="32"/>
          <w:u w:val="none"/>
          <w:lang w:val="en-US" w:eastAsia="zh-CN"/>
        </w:rPr>
        <w:t>财外</w:t>
      </w:r>
      <w:r>
        <w:rPr>
          <w:rFonts w:hint="eastAsia" w:ascii="仿宋_GB2312" w:eastAsia="仿宋_GB2312"/>
          <w:b w:val="0"/>
          <w:bCs w:val="0"/>
          <w:color w:val="auto"/>
          <w:sz w:val="32"/>
          <w:u w:val="none"/>
          <w:lang w:eastAsia="zh-CN"/>
        </w:rPr>
        <w:t>〔20</w:t>
      </w:r>
      <w:r>
        <w:rPr>
          <w:rFonts w:hint="eastAsia" w:ascii="仿宋_GB2312" w:eastAsia="仿宋_GB2312"/>
          <w:b w:val="0"/>
          <w:bCs w:val="0"/>
          <w:color w:val="auto"/>
          <w:sz w:val="32"/>
          <w:u w:val="none"/>
          <w:lang w:val="en-US" w:eastAsia="zh-CN"/>
        </w:rPr>
        <w:t>15</w:t>
      </w:r>
      <w:r>
        <w:rPr>
          <w:rFonts w:hint="eastAsia" w:ascii="仿宋_GB2312" w:eastAsia="仿宋_GB2312"/>
          <w:b w:val="0"/>
          <w:bCs w:val="0"/>
          <w:color w:val="auto"/>
          <w:sz w:val="32"/>
          <w:u w:val="none"/>
          <w:lang w:eastAsia="zh-CN"/>
        </w:rPr>
        <w:t>〕</w:t>
      </w:r>
      <w:r>
        <w:rPr>
          <w:rFonts w:hint="eastAsia" w:ascii="仿宋_GB2312" w:eastAsia="仿宋_GB2312"/>
          <w:b w:val="0"/>
          <w:bCs w:val="0"/>
          <w:color w:val="auto"/>
          <w:sz w:val="32"/>
          <w:u w:val="none"/>
          <w:lang w:val="en-US" w:eastAsia="zh-CN"/>
        </w:rPr>
        <w:t>120</w:t>
      </w:r>
      <w:r>
        <w:rPr>
          <w:rFonts w:hint="eastAsia" w:ascii="仿宋_GB2312" w:eastAsia="仿宋_GB2312"/>
          <w:b w:val="0"/>
          <w:bCs w:val="0"/>
          <w:color w:val="auto"/>
          <w:sz w:val="32"/>
          <w:u w:val="none"/>
          <w:lang w:eastAsia="zh-CN"/>
        </w:rPr>
        <w:t>号），参照《财政部办公厅 商务部办公厅关于</w:t>
      </w:r>
      <w:r>
        <w:rPr>
          <w:rFonts w:hint="eastAsia" w:ascii="仿宋_GB2312" w:eastAsia="仿宋_GB2312"/>
          <w:b w:val="0"/>
          <w:bCs w:val="0"/>
          <w:color w:val="auto"/>
          <w:sz w:val="32"/>
          <w:u w:val="none"/>
          <w:lang w:val="en-US" w:eastAsia="zh-CN"/>
        </w:rPr>
        <w:t>2022年度外经贸发展专项资金重点工作的通知</w:t>
      </w:r>
      <w:r>
        <w:rPr>
          <w:rFonts w:hint="eastAsia" w:ascii="仿宋_GB2312" w:eastAsia="仿宋_GB2312"/>
          <w:b w:val="0"/>
          <w:bCs w:val="0"/>
          <w:color w:val="auto"/>
          <w:sz w:val="32"/>
          <w:u w:val="none"/>
          <w:lang w:eastAsia="zh-CN"/>
        </w:rPr>
        <w:t>》（财办建〔20</w:t>
      </w:r>
      <w:r>
        <w:rPr>
          <w:rFonts w:hint="eastAsia" w:ascii="仿宋_GB2312" w:eastAsia="仿宋_GB2312"/>
          <w:b w:val="0"/>
          <w:bCs w:val="0"/>
          <w:color w:val="auto"/>
          <w:sz w:val="32"/>
          <w:u w:val="none"/>
          <w:lang w:val="en-US" w:eastAsia="zh-CN"/>
        </w:rPr>
        <w:t>22</w:t>
      </w:r>
      <w:r>
        <w:rPr>
          <w:rFonts w:hint="eastAsia" w:ascii="仿宋_GB2312" w:eastAsia="仿宋_GB2312"/>
          <w:b w:val="0"/>
          <w:bCs w:val="0"/>
          <w:color w:val="auto"/>
          <w:sz w:val="32"/>
          <w:u w:val="none"/>
          <w:lang w:eastAsia="zh-CN"/>
        </w:rPr>
        <w:t>〕</w:t>
      </w:r>
      <w:r>
        <w:rPr>
          <w:rFonts w:hint="eastAsia" w:ascii="仿宋_GB2312" w:eastAsia="仿宋_GB2312"/>
          <w:b w:val="0"/>
          <w:bCs w:val="0"/>
          <w:color w:val="auto"/>
          <w:sz w:val="32"/>
          <w:u w:val="none"/>
          <w:lang w:val="en-US" w:eastAsia="zh-CN"/>
        </w:rPr>
        <w:t>37</w:t>
      </w:r>
      <w:r>
        <w:rPr>
          <w:rFonts w:hint="eastAsia" w:ascii="仿宋_GB2312" w:eastAsia="仿宋_GB2312"/>
          <w:b w:val="0"/>
          <w:bCs w:val="0"/>
          <w:color w:val="auto"/>
          <w:sz w:val="32"/>
          <w:u w:val="none"/>
          <w:lang w:eastAsia="zh-CN"/>
        </w:rPr>
        <w:t>号）</w:t>
      </w:r>
      <w:r>
        <w:rPr>
          <w:rFonts w:hint="eastAsia" w:ascii="仿宋_GB2312" w:eastAsia="仿宋_GB2312"/>
          <w:color w:val="auto"/>
          <w:sz w:val="32"/>
          <w:u w:val="none"/>
          <w:lang w:eastAsia="zh-CN"/>
        </w:rPr>
        <w:t>等文件，制定本申报指南。</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lang w:eastAsia="zh-CN"/>
        </w:rPr>
        <w:t>一、支持内容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仿宋_GB2312" w:eastAsia="仿宋_GB2312"/>
          <w:color w:val="auto"/>
          <w:sz w:val="32"/>
          <w:u w:val="none"/>
          <w:lang w:eastAsia="zh-CN"/>
        </w:rPr>
      </w:pPr>
      <w:r>
        <w:rPr>
          <w:rFonts w:hint="eastAsia" w:ascii="仿宋_GB2312" w:hAnsi="仿宋_GB2312" w:eastAsia="仿宋_GB2312" w:cs="仿宋_GB2312"/>
          <w:color w:val="auto"/>
          <w:sz w:val="32"/>
          <w:szCs w:val="32"/>
          <w:u w:val="none"/>
          <w:lang w:val="en-US" w:eastAsia="zh-CN"/>
        </w:rPr>
        <w:t>参与国际贸易摩擦应对、或对进口产品申请发起贸易救济调查的本省企业，凡提供符合要求的</w:t>
      </w:r>
      <w:r>
        <w:rPr>
          <w:rFonts w:hint="eastAsia" w:ascii="仿宋_GB2312" w:eastAsia="仿宋_GB2312"/>
          <w:color w:val="auto"/>
          <w:sz w:val="32"/>
          <w:u w:val="none"/>
          <w:lang w:eastAsia="zh-CN"/>
        </w:rPr>
        <w:t>应</w:t>
      </w:r>
      <w:r>
        <w:rPr>
          <w:rFonts w:hint="eastAsia" w:ascii="仿宋_GB2312" w:hAnsi="仿宋_GB2312" w:eastAsia="仿宋_GB2312"/>
          <w:color w:val="auto"/>
          <w:sz w:val="32"/>
          <w:u w:val="none"/>
          <w:lang w:val="en-US" w:eastAsia="zh-CN"/>
        </w:rPr>
        <w:t>（起）</w:t>
      </w:r>
      <w:r>
        <w:rPr>
          <w:rFonts w:hint="eastAsia" w:ascii="仿宋_GB2312" w:eastAsia="仿宋_GB2312"/>
          <w:color w:val="auto"/>
          <w:sz w:val="32"/>
          <w:u w:val="none"/>
          <w:lang w:eastAsia="zh-CN"/>
        </w:rPr>
        <w:t>诉研究报告（以下简称研究报告）的，可申请进入本项目库。</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textAlignment w:val="auto"/>
        <w:outlineLvl w:val="9"/>
        <w:rPr>
          <w:rFonts w:hint="eastAsia" w:ascii="黑体" w:hAnsi="黑体" w:eastAsia="黑体"/>
          <w:color w:val="auto"/>
          <w:sz w:val="32"/>
          <w:u w:val="none"/>
          <w:lang w:val="en-US" w:eastAsia="zh-CN"/>
        </w:rPr>
      </w:pPr>
      <w:r>
        <w:rPr>
          <w:rFonts w:hint="eastAsia" w:ascii="黑体" w:hAnsi="黑体" w:eastAsia="黑体"/>
          <w:color w:val="auto"/>
          <w:sz w:val="32"/>
          <w:u w:val="none"/>
          <w:lang w:val="en-US" w:eastAsia="zh-CN"/>
        </w:rPr>
        <w:t>二、支持时段</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640"/>
        <w:textAlignment w:val="auto"/>
        <w:outlineLvl w:val="9"/>
        <w:rPr>
          <w:rFonts w:hint="default"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本年度入库项目支持时间以案件裁决时间为准，提交的研究报告所涉案件应为2022年7月1日至2022年12月</w:t>
      </w:r>
      <w:r>
        <w:rPr>
          <w:rFonts w:hint="eastAsia" w:ascii="仿宋_GB2312" w:hAnsi="仿宋_GB2312" w:eastAsia="仿宋_GB2312"/>
          <w:color w:val="auto"/>
          <w:sz w:val="32"/>
          <w:u w:val="none"/>
          <w:lang w:val="en-US" w:eastAsia="zh"/>
        </w:rPr>
        <w:t>31</w:t>
      </w:r>
      <w:r>
        <w:rPr>
          <w:rFonts w:hint="eastAsia" w:ascii="仿宋_GB2312" w:hAnsi="仿宋_GB2312" w:eastAsia="仿宋_GB2312"/>
          <w:color w:val="auto"/>
          <w:sz w:val="32"/>
          <w:u w:val="none"/>
          <w:lang w:val="en-US" w:eastAsia="zh-CN"/>
        </w:rPr>
        <w:t>日间裁决的案件，包括新立案件和复审案件。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default" w:ascii="仿宋_GB2312" w:hAnsi="仿宋_GB2312" w:eastAsia="仿宋_GB2312" w:cs="Times New Roman"/>
          <w:bCs/>
          <w:color w:val="auto"/>
          <w:sz w:val="32"/>
          <w:szCs w:val="44"/>
          <w:u w:val="none"/>
          <w:lang w:val="en-US" w:eastAsia="zh-CN"/>
        </w:rPr>
      </w:pPr>
      <w:r>
        <w:rPr>
          <w:rFonts w:hint="eastAsia" w:ascii="黑体" w:hAnsi="黑体" w:eastAsia="黑体" w:cs="黑体"/>
          <w:color w:val="auto"/>
          <w:sz w:val="32"/>
          <w:szCs w:val="32"/>
          <w:u w:val="none"/>
          <w:lang w:val="en-US" w:eastAsia="zh-CN"/>
        </w:rPr>
        <w:t>三、支持类别及支持标准</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楷体_GB2312" w:hAnsi="楷体_GB2312" w:eastAsia="楷体_GB2312" w:cs="楷体_GB2312"/>
          <w:color w:val="auto"/>
          <w:sz w:val="32"/>
          <w:u w:val="none"/>
          <w:lang w:val="en-US" w:eastAsia="zh-CN"/>
        </w:rPr>
      </w:pPr>
      <w:r>
        <w:rPr>
          <w:rFonts w:hint="eastAsia" w:ascii="楷体_GB2312" w:hAnsi="楷体_GB2312" w:eastAsia="楷体_GB2312" w:cs="楷体_GB2312"/>
          <w:bCs/>
          <w:color w:val="auto"/>
          <w:sz w:val="32"/>
          <w:szCs w:val="44"/>
          <w:u w:val="none"/>
          <w:lang w:val="en-US" w:eastAsia="zh-CN"/>
        </w:rPr>
        <w:t>（一）</w:t>
      </w:r>
      <w:r>
        <w:rPr>
          <w:rFonts w:hint="eastAsia" w:ascii="楷体_GB2312" w:hAnsi="楷体_GB2312" w:eastAsia="楷体_GB2312" w:cs="楷体_GB2312"/>
          <w:color w:val="auto"/>
          <w:sz w:val="32"/>
          <w:u w:val="none"/>
          <w:lang w:val="en-US" w:eastAsia="zh-CN"/>
        </w:rPr>
        <w:t>研究应诉反倾销或反补贴调查的报告。</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报告反映反倾销或反补贴一种贸易救济措施应对情况的，对申请企业的最高支持金额不超过40万元，所涉案件获得最低税率或胜诉的，最高支持金额上浮至不超过50万元；项目符合条件的发生金额低于最高支持标准的，支持金额以符合条件的发生金额为限。</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highlight w:val="none"/>
          <w:u w:val="none"/>
          <w:lang w:val="en-US" w:eastAsia="zh-CN"/>
        </w:rPr>
        <w:t>申请企业同时参加了行业无损害抗辩且报告也反映了行业无损害抗辩情况的，可在上述标准基础上上浮不超过5万元；</w:t>
      </w:r>
      <w:r>
        <w:rPr>
          <w:rFonts w:hint="eastAsia" w:ascii="仿宋_GB2312" w:hAnsi="仿宋_GB2312" w:eastAsia="仿宋_GB2312"/>
          <w:color w:val="auto"/>
          <w:sz w:val="32"/>
          <w:u w:val="none"/>
          <w:lang w:val="en-US" w:eastAsia="zh-CN"/>
        </w:rPr>
        <w:t>项目符合条件的发生金额低于最高支持标准的，支持金额以符合条件的发生金额为限。</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楷体_GB2312" w:hAnsi="楷体_GB2312" w:eastAsia="楷体_GB2312" w:cs="楷体_GB2312"/>
          <w:bCs/>
          <w:color w:val="auto"/>
          <w:sz w:val="32"/>
          <w:szCs w:val="44"/>
          <w:u w:val="none"/>
          <w:lang w:val="en-US" w:eastAsia="zh-CN"/>
        </w:rPr>
      </w:pPr>
      <w:r>
        <w:rPr>
          <w:rFonts w:hint="eastAsia" w:ascii="楷体_GB2312" w:hAnsi="楷体_GB2312" w:eastAsia="楷体_GB2312" w:cs="楷体_GB2312"/>
          <w:b w:val="0"/>
          <w:bCs/>
          <w:color w:val="auto"/>
          <w:sz w:val="32"/>
          <w:szCs w:val="44"/>
          <w:highlight w:val="none"/>
          <w:u w:val="none"/>
          <w:lang w:val="en-US" w:eastAsia="zh-CN"/>
        </w:rPr>
        <w:t>（二）</w:t>
      </w:r>
      <w:r>
        <w:rPr>
          <w:rFonts w:hint="eastAsia" w:ascii="楷体_GB2312" w:hAnsi="楷体_GB2312" w:eastAsia="楷体_GB2312" w:cs="楷体_GB2312"/>
          <w:bCs/>
          <w:color w:val="auto"/>
          <w:sz w:val="32"/>
          <w:szCs w:val="44"/>
          <w:u w:val="none"/>
          <w:lang w:val="en-US" w:eastAsia="zh-CN"/>
        </w:rPr>
        <w:t>研究应诉同一案件反倾销、反补贴调查的报告。</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报告同时反映反倾销、反补贴调查应对情况的，对申请企业的最高支持金额不超过80万元；项目符合支持条件的发生金额低于最高支持标准的，支持金额以符合条件的发生金额为限。</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楷体_GB2312" w:hAnsi="楷体_GB2312" w:eastAsia="楷体_GB2312" w:cs="楷体_GB2312"/>
          <w:color w:val="FF0000"/>
          <w:sz w:val="32"/>
          <w:u w:val="none"/>
          <w:lang w:val="en-US" w:eastAsia="zh-CN"/>
        </w:rPr>
      </w:pPr>
      <w:r>
        <w:rPr>
          <w:rFonts w:hint="eastAsia" w:ascii="楷体_GB2312" w:hAnsi="楷体_GB2312" w:eastAsia="楷体_GB2312" w:cs="楷体_GB2312"/>
          <w:color w:val="auto"/>
          <w:sz w:val="32"/>
          <w:u w:val="none"/>
          <w:lang w:val="en-US" w:eastAsia="zh-CN"/>
        </w:rPr>
        <w:t>（三）研究应诉保障措施的报告。</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对申请企业的最高支持金额不超过40万元，所涉案件获得最低税率或胜诉的，最高支持金额上浮至不超过50万元；项目符合条件的发生金额低于最高支持标准的，支持金额以符合条件的发生金额为限。</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楷体_GB2312" w:hAnsi="楷体_GB2312" w:eastAsia="楷体_GB2312" w:cs="楷体_GB2312"/>
          <w:color w:val="auto"/>
          <w:sz w:val="32"/>
          <w:u w:val="none"/>
          <w:lang w:val="en-US" w:eastAsia="zh-CN"/>
        </w:rPr>
      </w:pPr>
      <w:r>
        <w:rPr>
          <w:rFonts w:hint="eastAsia" w:ascii="楷体_GB2312" w:hAnsi="楷体_GB2312" w:eastAsia="楷体_GB2312" w:cs="楷体_GB2312"/>
          <w:color w:val="auto"/>
          <w:sz w:val="32"/>
          <w:u w:val="none"/>
          <w:lang w:val="en-US" w:eastAsia="zh-CN"/>
        </w:rPr>
        <w:t>（四）研究</w:t>
      </w:r>
      <w:r>
        <w:rPr>
          <w:rFonts w:hint="eastAsia" w:ascii="楷体_GB2312" w:hAnsi="楷体_GB2312" w:eastAsia="楷体_GB2312" w:cs="楷体_GB2312"/>
          <w:b w:val="0"/>
          <w:bCs w:val="0"/>
          <w:color w:val="auto"/>
          <w:sz w:val="32"/>
          <w:u w:val="none"/>
          <w:lang w:val="en-US" w:eastAsia="zh-CN"/>
        </w:rPr>
        <w:t>对外贸易有关的知识产权争端应对（以下简称知识产权争端应对）的报告。</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对申请企业的最高支持金额不超过150万元，所涉案件获得胜诉的，最高支持金额上浮至不超过180万元；项目符合条件的发生金额低于最高支持标准的，支持金额以符合条件的发生金额为限。</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00B0F0"/>
          <w:sz w:val="32"/>
          <w:u w:val="none"/>
          <w:lang w:val="en-US" w:eastAsia="zh-CN"/>
        </w:rPr>
      </w:pPr>
      <w:r>
        <w:rPr>
          <w:rFonts w:hint="eastAsia" w:ascii="楷体_GB2312" w:hAnsi="楷体_GB2312" w:eastAsia="楷体_GB2312" w:cs="楷体_GB2312"/>
          <w:color w:val="auto"/>
          <w:sz w:val="32"/>
          <w:u w:val="none"/>
          <w:lang w:val="en-US" w:eastAsia="zh-CN"/>
        </w:rPr>
        <w:t>（五）研究对进口产品发起贸易救济调查的报告。</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u w:val="none"/>
          <w:lang w:val="en-US" w:eastAsia="zh-CN"/>
        </w:rPr>
      </w:pPr>
      <w:r>
        <w:rPr>
          <w:rFonts w:hint="eastAsia" w:ascii="仿宋_GB2312" w:hAnsi="仿宋_GB2312" w:eastAsia="仿宋_GB2312"/>
          <w:color w:val="auto"/>
          <w:sz w:val="32"/>
          <w:u w:val="none"/>
          <w:lang w:val="en-US" w:eastAsia="zh-CN"/>
        </w:rPr>
        <w:t>对申请企业的最高支持金额不超过40万元，所涉案件裁定对被调查国家或地区征收反倾销税、反补贴税或实施保障措施的，最高支持金额上浮至不超过50万元；项目符合条件的发生金额低于最高支持标准的，支持金额以符合条件的发生金额为限。</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640" w:firstLineChars="200"/>
        <w:textAlignment w:val="auto"/>
        <w:outlineLvl w:val="9"/>
        <w:rPr>
          <w:rFonts w:hint="eastAsia" w:ascii="黑体" w:hAnsi="黑体" w:eastAsia="黑体"/>
          <w:color w:val="auto"/>
          <w:sz w:val="32"/>
          <w:u w:val="none"/>
          <w:lang w:val="en-US" w:eastAsia="zh-CN"/>
        </w:rPr>
      </w:pPr>
      <w:r>
        <w:rPr>
          <w:rFonts w:hint="eastAsia" w:ascii="黑体" w:hAnsi="黑体" w:eastAsia="黑体"/>
          <w:color w:val="auto"/>
          <w:sz w:val="32"/>
          <w:u w:val="none"/>
          <w:lang w:val="en-US" w:eastAsia="zh-CN"/>
        </w:rPr>
        <w:t>四、申报资格</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27" w:firstLineChars="196"/>
        <w:jc w:val="left"/>
        <w:textAlignment w:val="auto"/>
        <w:outlineLvl w:val="9"/>
        <w:rPr>
          <w:rFonts w:hint="eastAsia" w:ascii="楷体_GB2312" w:hAnsi="楷体_GB2312" w:eastAsia="楷体_GB2312" w:cs="楷体_GB2312"/>
          <w:b w:val="0"/>
          <w:bCs/>
          <w:color w:val="auto"/>
          <w:sz w:val="32"/>
          <w:szCs w:val="44"/>
          <w:u w:val="none"/>
          <w:lang w:val="en-US" w:eastAsia="zh-CN"/>
        </w:rPr>
      </w:pPr>
      <w:r>
        <w:rPr>
          <w:rFonts w:hint="eastAsia" w:ascii="楷体_GB2312" w:hAnsi="楷体_GB2312" w:eastAsia="楷体_GB2312" w:cs="楷体_GB2312"/>
          <w:b w:val="0"/>
          <w:bCs/>
          <w:color w:val="auto"/>
          <w:sz w:val="32"/>
          <w:szCs w:val="44"/>
          <w:u w:val="none"/>
          <w:lang w:val="en-US" w:eastAsia="zh-CN"/>
        </w:rPr>
        <w:t>（一）申请企业（单位）须具备以下条件：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1.本省依法登记设立的企业。</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2.配合各级商务主管部门开展贸易救济工作，接受工作协调和管理。</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3.具有健全的财务核算与管理制度。</w:t>
      </w:r>
    </w:p>
    <w:p>
      <w:pPr>
        <w:spacing w:line="560" w:lineRule="exact"/>
        <w:ind w:firstLine="640" w:firstLineChars="200"/>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4.</w:t>
      </w:r>
      <w:r>
        <w:rPr>
          <w:rFonts w:hint="eastAsia" w:eastAsia="仿宋_GB2312"/>
          <w:color w:val="auto"/>
          <w:kern w:val="0"/>
          <w:sz w:val="32"/>
          <w:u w:val="none"/>
          <w:lang w:eastAsia="zh-CN"/>
        </w:rPr>
        <w:t>企业</w:t>
      </w:r>
      <w:r>
        <w:rPr>
          <w:rFonts w:hint="default" w:eastAsia="仿宋_GB2312"/>
          <w:color w:val="auto"/>
          <w:kern w:val="0"/>
          <w:sz w:val="32"/>
          <w:u w:val="none"/>
        </w:rPr>
        <w:t>近</w:t>
      </w:r>
      <w:r>
        <w:rPr>
          <w:rFonts w:hint="eastAsia" w:eastAsia="仿宋_GB2312"/>
          <w:color w:val="auto"/>
          <w:kern w:val="0"/>
          <w:sz w:val="32"/>
          <w:u w:val="none"/>
          <w:lang w:eastAsia="zh-CN"/>
        </w:rPr>
        <w:t>三</w:t>
      </w:r>
      <w:r>
        <w:rPr>
          <w:rFonts w:hint="default" w:eastAsia="仿宋_GB2312"/>
          <w:color w:val="auto"/>
          <w:kern w:val="0"/>
          <w:sz w:val="32"/>
          <w:u w:val="none"/>
        </w:rPr>
        <w:t>年无发生严重违法违规行为，无拖欠应缴付财政款项</w:t>
      </w:r>
      <w:r>
        <w:rPr>
          <w:rFonts w:hint="eastAsia" w:eastAsia="仿宋_GB2312"/>
          <w:color w:val="auto"/>
          <w:kern w:val="0"/>
          <w:sz w:val="32"/>
          <w:u w:val="none"/>
          <w:lang w:eastAsia="zh-CN"/>
        </w:rPr>
        <w:t>等</w:t>
      </w:r>
      <w:r>
        <w:rPr>
          <w:rFonts w:hint="eastAsia" w:ascii="仿宋_GB2312" w:hAnsi="仿宋_GB2312" w:eastAsia="仿宋_GB2312"/>
          <w:b w:val="0"/>
          <w:bCs/>
          <w:color w:val="auto"/>
          <w:sz w:val="32"/>
          <w:szCs w:val="44"/>
          <w:u w:val="none"/>
          <w:lang w:val="en-US" w:eastAsia="zh-CN"/>
        </w:rPr>
        <w:t>。</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u w:val="none"/>
          <w:lang w:val="en-US" w:eastAsia="zh-CN"/>
        </w:rPr>
      </w:pPr>
      <w:r>
        <w:rPr>
          <w:rFonts w:hint="eastAsia" w:ascii="楷体_GB2312" w:hAnsi="楷体_GB2312" w:eastAsia="楷体_GB2312" w:cs="楷体_GB2312"/>
          <w:b w:val="0"/>
          <w:bCs/>
          <w:color w:val="auto"/>
          <w:sz w:val="32"/>
          <w:szCs w:val="44"/>
          <w:highlight w:val="none"/>
          <w:u w:val="none"/>
          <w:lang w:val="en-US" w:eastAsia="zh-CN"/>
        </w:rPr>
        <w:t>（二）申请项目须具备以下条件：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1.研究报告所涉案件为支持时段内的贸易摩擦应（起）诉案件。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eastAsia" w:ascii="仿宋_GB2312" w:hAnsi="仿宋_GB2312" w:eastAsia="仿宋_GB2312"/>
          <w:b w:val="0"/>
          <w:bCs/>
          <w:color w:val="auto"/>
          <w:sz w:val="32"/>
          <w:szCs w:val="44"/>
          <w:highlight w:val="none"/>
          <w:u w:val="none"/>
          <w:lang w:val="en-US" w:eastAsia="zh-CN"/>
        </w:rPr>
      </w:pPr>
      <w:r>
        <w:rPr>
          <w:rFonts w:hint="eastAsia" w:ascii="仿宋_GB2312" w:hAnsi="仿宋_GB2312" w:eastAsia="仿宋_GB2312"/>
          <w:b w:val="0"/>
          <w:bCs/>
          <w:color w:val="auto"/>
          <w:sz w:val="32"/>
          <w:szCs w:val="44"/>
          <w:highlight w:val="none"/>
          <w:u w:val="none"/>
          <w:lang w:val="en-US" w:eastAsia="zh-CN"/>
        </w:rPr>
        <w:t>2.研究报告所涉单独应诉案件实际支出费用合计不低于1万元。</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560" w:lineRule="exact"/>
        <w:ind w:leftChars="0" w:right="0" w:rightChars="0" w:firstLine="640" w:firstLineChars="200"/>
        <w:jc w:val="both"/>
        <w:textAlignment w:val="auto"/>
        <w:outlineLvl w:val="9"/>
        <w:rPr>
          <w:rFonts w:hint="default"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3.同一类别的研究报告已获得本专项资金资助的，不能申请入库。</w:t>
      </w:r>
    </w:p>
    <w:p>
      <w:pPr>
        <w:numPr>
          <w:ilvl w:val="0"/>
          <w:numId w:val="0"/>
        </w:numPr>
        <w:pBdr>
          <w:top w:val="none" w:color="auto" w:sz="0" w:space="1"/>
          <w:left w:val="none" w:color="auto" w:sz="0" w:space="4"/>
          <w:bottom w:val="none" w:color="auto" w:sz="0" w:space="1"/>
          <w:right w:val="none" w:color="auto" w:sz="0" w:space="4"/>
        </w:pBdr>
        <w:spacing w:beforeLines="0" w:afterLines="0" w:line="560" w:lineRule="exact"/>
        <w:ind w:firstLine="640" w:firstLineChars="200"/>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b w:val="0"/>
          <w:bCs/>
          <w:color w:val="auto"/>
          <w:sz w:val="32"/>
          <w:szCs w:val="44"/>
          <w:u w:val="none"/>
          <w:lang w:val="en-US" w:eastAsia="zh-CN"/>
        </w:rPr>
        <w:t>4.申报项目资料完整、真实、有效，申请程序符合规定。</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textAlignment w:val="auto"/>
        <w:outlineLvl w:val="9"/>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lang w:val="en-US" w:eastAsia="zh-CN"/>
        </w:rPr>
        <w:t>五、</w:t>
      </w:r>
      <w:r>
        <w:rPr>
          <w:rFonts w:hint="eastAsia" w:ascii="黑体" w:hAnsi="黑体" w:eastAsia="黑体" w:cs="黑体"/>
          <w:color w:val="auto"/>
          <w:sz w:val="32"/>
          <w:szCs w:val="32"/>
          <w:u w:val="none"/>
          <w:lang w:eastAsia="zh-CN"/>
        </w:rPr>
        <w:t>申报材料</w:t>
      </w:r>
    </w:p>
    <w:p>
      <w:pPr>
        <w:keepNext w:val="0"/>
        <w:keepLines w:val="0"/>
        <w:pageBreakBefore w:val="0"/>
        <w:widowControl w:val="0"/>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eastAsia" w:ascii="楷体_GB2312" w:hAnsi="楷体_GB2312" w:eastAsia="楷体_GB2312" w:cs="楷体_GB2312"/>
          <w:b w:val="0"/>
          <w:bCs/>
          <w:color w:val="auto"/>
          <w:sz w:val="32"/>
          <w:szCs w:val="44"/>
          <w:u w:val="none"/>
          <w:lang w:val="en-US" w:eastAsia="zh-CN"/>
        </w:rPr>
      </w:pPr>
      <w:r>
        <w:rPr>
          <w:rFonts w:hint="eastAsia" w:ascii="楷体_GB2312" w:hAnsi="楷体_GB2312" w:eastAsia="楷体_GB2312" w:cs="楷体_GB2312"/>
          <w:b w:val="0"/>
          <w:bCs/>
          <w:color w:val="auto"/>
          <w:sz w:val="32"/>
          <w:szCs w:val="44"/>
          <w:u w:val="none"/>
          <w:lang w:val="en-US" w:eastAsia="zh-CN"/>
        </w:rPr>
        <w:t>（一）申报材料清单。</w:t>
      </w:r>
    </w:p>
    <w:p>
      <w:pPr>
        <w:keepNext w:val="0"/>
        <w:keepLines w:val="0"/>
        <w:pageBreakBefore w:val="0"/>
        <w:widowControl w:val="0"/>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default" w:ascii="仿宋_GB2312" w:hAnsi="仿宋_GB2312" w:eastAsia="仿宋_GB2312" w:cs="仿宋_GB2312"/>
          <w:b w:val="0"/>
          <w:bCs/>
          <w:color w:val="auto"/>
          <w:sz w:val="32"/>
          <w:szCs w:val="44"/>
          <w:highlight w:val="yellow"/>
          <w:u w:val="none"/>
          <w:lang w:val="en" w:eastAsia="zh-CN"/>
        </w:rPr>
      </w:pPr>
      <w:r>
        <w:rPr>
          <w:rFonts w:hint="default" w:ascii="仿宋_GB2312" w:hAnsi="仿宋_GB2312" w:eastAsia="仿宋_GB2312" w:cs="仿宋_GB2312"/>
          <w:b w:val="0"/>
          <w:bCs/>
          <w:color w:val="auto"/>
          <w:sz w:val="32"/>
          <w:szCs w:val="44"/>
          <w:u w:val="none"/>
          <w:lang w:val="en" w:eastAsia="zh-CN"/>
        </w:rPr>
        <w:t>1</w:t>
      </w:r>
      <w:r>
        <w:rPr>
          <w:rFonts w:hint="default" w:ascii="仿宋_GB2312" w:hAnsi="仿宋_GB2312" w:eastAsia="仿宋_GB2312" w:cs="仿宋_GB2312"/>
          <w:b w:val="0"/>
          <w:bCs/>
          <w:color w:val="auto"/>
          <w:sz w:val="32"/>
          <w:szCs w:val="44"/>
          <w:highlight w:val="none"/>
          <w:u w:val="none"/>
          <w:lang w:val="en" w:eastAsia="zh-CN"/>
        </w:rPr>
        <w:t>.2023年</w:t>
      </w:r>
      <w:r>
        <w:rPr>
          <w:rFonts w:hint="eastAsia" w:ascii="仿宋_GB2312" w:hAnsi="仿宋_GB2312" w:eastAsia="仿宋_GB2312" w:cs="仿宋_GB2312"/>
          <w:b w:val="0"/>
          <w:bCs/>
          <w:color w:val="auto"/>
          <w:sz w:val="32"/>
          <w:szCs w:val="44"/>
          <w:highlight w:val="none"/>
          <w:u w:val="none"/>
          <w:lang w:val="en" w:eastAsia="zh-CN"/>
        </w:rPr>
        <w:t>中央</w:t>
      </w:r>
      <w:r>
        <w:rPr>
          <w:rFonts w:hint="default" w:ascii="仿宋_GB2312" w:hAnsi="仿宋_GB2312" w:eastAsia="仿宋_GB2312" w:cs="仿宋_GB2312"/>
          <w:b w:val="0"/>
          <w:bCs/>
          <w:color w:val="auto"/>
          <w:sz w:val="32"/>
          <w:szCs w:val="44"/>
          <w:highlight w:val="none"/>
          <w:u w:val="none"/>
          <w:lang w:val="en" w:eastAsia="zh-CN"/>
        </w:rPr>
        <w:t>外经贸发展专项资金（应对贸易摩擦事项）申请表</w:t>
      </w:r>
      <w:r>
        <w:rPr>
          <w:rFonts w:hint="eastAsia" w:ascii="仿宋_GB2312" w:hAnsi="仿宋_GB2312" w:eastAsia="仿宋_GB2312" w:cs="仿宋_GB2312"/>
          <w:b w:val="0"/>
          <w:bCs/>
          <w:color w:val="auto"/>
          <w:sz w:val="32"/>
          <w:szCs w:val="44"/>
          <w:highlight w:val="none"/>
          <w:u w:val="none"/>
          <w:lang w:val="en" w:eastAsia="zh-CN"/>
        </w:rPr>
        <w:t>，双面打印。</w:t>
      </w:r>
    </w:p>
    <w:p>
      <w:pPr>
        <w:keepNext w:val="0"/>
        <w:keepLines w:val="0"/>
        <w:pageBreakBefore w:val="0"/>
        <w:widowControl w:val="0"/>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eastAsia" w:ascii="仿宋_GB2312" w:hAnsi="仿宋_GB2312" w:eastAsia="仿宋_GB2312" w:cs="仿宋_GB2312"/>
          <w:bCs/>
          <w:color w:val="auto"/>
          <w:sz w:val="32"/>
          <w:szCs w:val="44"/>
          <w:u w:val="none"/>
          <w:lang w:val="en-US" w:eastAsia="zh-CN"/>
        </w:rPr>
      </w:pPr>
      <w:r>
        <w:rPr>
          <w:rFonts w:hint="eastAsia" w:ascii="仿宋_GB2312" w:hAnsi="仿宋_GB2312" w:eastAsia="仿宋_GB2312" w:cs="仿宋_GB2312"/>
          <w:b w:val="0"/>
          <w:bCs/>
          <w:color w:val="auto"/>
          <w:sz w:val="32"/>
          <w:szCs w:val="44"/>
          <w:u w:val="none"/>
          <w:lang w:val="en-US" w:eastAsia="zh-CN"/>
        </w:rPr>
        <w:t>2.研究</w:t>
      </w:r>
      <w:r>
        <w:rPr>
          <w:rFonts w:hint="eastAsia" w:ascii="仿宋_GB2312" w:hAnsi="仿宋_GB2312" w:eastAsia="仿宋_GB2312" w:cs="仿宋_GB2312"/>
          <w:b w:val="0"/>
          <w:bCs/>
          <w:color w:val="auto"/>
          <w:sz w:val="32"/>
          <w:u w:val="none"/>
          <w:lang w:eastAsia="zh-CN"/>
        </w:rPr>
        <w:t>报告</w:t>
      </w:r>
      <w:r>
        <w:rPr>
          <w:rFonts w:hint="eastAsia" w:ascii="仿宋_GB2312" w:hAnsi="仿宋_GB2312" w:eastAsia="仿宋_GB2312" w:cs="仿宋_GB2312"/>
          <w:color w:val="auto"/>
          <w:sz w:val="32"/>
          <w:u w:val="none"/>
          <w:lang w:eastAsia="zh-CN"/>
        </w:rPr>
        <w:t>。内容</w:t>
      </w:r>
      <w:r>
        <w:rPr>
          <w:rFonts w:hint="eastAsia" w:ascii="仿宋_GB2312" w:hAnsi="仿宋_GB2312" w:eastAsia="仿宋_GB2312" w:cs="仿宋_GB2312"/>
          <w:bCs/>
          <w:color w:val="auto"/>
          <w:sz w:val="32"/>
          <w:szCs w:val="44"/>
          <w:u w:val="none"/>
        </w:rPr>
        <w:t>包括但不限于</w:t>
      </w:r>
      <w:r>
        <w:rPr>
          <w:rFonts w:hint="eastAsia" w:ascii="仿宋_GB2312" w:hAnsi="仿宋_GB2312" w:eastAsia="仿宋_GB2312" w:cs="仿宋_GB2312"/>
          <w:bCs/>
          <w:color w:val="auto"/>
          <w:sz w:val="32"/>
          <w:szCs w:val="44"/>
          <w:u w:val="none"/>
          <w:lang w:eastAsia="zh-CN"/>
        </w:rPr>
        <w:t>企业</w:t>
      </w:r>
      <w:r>
        <w:rPr>
          <w:rFonts w:hint="eastAsia" w:ascii="仿宋_GB2312" w:hAnsi="仿宋_GB2312" w:eastAsia="仿宋_GB2312" w:cs="仿宋_GB2312"/>
          <w:bCs/>
          <w:color w:val="auto"/>
          <w:sz w:val="32"/>
          <w:szCs w:val="44"/>
          <w:u w:val="none"/>
        </w:rPr>
        <w:t>近三年来基本情况</w:t>
      </w:r>
      <w:r>
        <w:rPr>
          <w:rFonts w:hint="eastAsia" w:ascii="仿宋_GB2312" w:hAnsi="仿宋_GB2312" w:eastAsia="仿宋_GB2312" w:cs="仿宋_GB2312"/>
          <w:bCs/>
          <w:color w:val="auto"/>
          <w:sz w:val="32"/>
          <w:szCs w:val="44"/>
          <w:u w:val="none"/>
          <w:lang w:eastAsia="zh-CN"/>
        </w:rPr>
        <w:t>，企业</w:t>
      </w:r>
      <w:r>
        <w:rPr>
          <w:rFonts w:hint="eastAsia" w:ascii="仿宋_GB2312" w:hAnsi="仿宋_GB2312" w:eastAsia="仿宋_GB2312" w:cs="仿宋_GB2312"/>
          <w:bCs/>
          <w:color w:val="auto"/>
          <w:sz w:val="32"/>
          <w:szCs w:val="44"/>
          <w:u w:val="none"/>
        </w:rPr>
        <w:t>近三年来涉案产品生产和销售情况</w:t>
      </w:r>
      <w:r>
        <w:rPr>
          <w:rFonts w:hint="eastAsia" w:ascii="仿宋_GB2312" w:hAnsi="仿宋_GB2312" w:eastAsia="仿宋_GB2312" w:cs="仿宋_GB2312"/>
          <w:bCs/>
          <w:color w:val="auto"/>
          <w:sz w:val="32"/>
          <w:szCs w:val="44"/>
          <w:u w:val="none"/>
          <w:lang w:eastAsia="zh-CN"/>
        </w:rPr>
        <w:t>，案件应对情况及经验总结，案件影响分析，案件发生之后企业采取的调整措施（如产品升级、调整市场布局、健全内部管理机制、推动行业自律等），以及对政府或者行业协会组织应对工作的意见建议。研究报告</w:t>
      </w:r>
      <w:r>
        <w:rPr>
          <w:rFonts w:hint="eastAsia" w:ascii="仿宋_GB2312" w:hAnsi="仿宋_GB2312" w:eastAsia="仿宋_GB2312" w:cs="仿宋_GB2312"/>
          <w:bCs/>
          <w:color w:val="auto"/>
          <w:sz w:val="32"/>
          <w:szCs w:val="44"/>
          <w:u w:val="none"/>
        </w:rPr>
        <w:t>字数不少于</w:t>
      </w:r>
      <w:r>
        <w:rPr>
          <w:rFonts w:hint="eastAsia" w:ascii="仿宋_GB2312" w:hAnsi="仿宋_GB2312" w:eastAsia="仿宋_GB2312" w:cs="仿宋_GB2312"/>
          <w:bCs/>
          <w:color w:val="auto"/>
          <w:sz w:val="32"/>
          <w:szCs w:val="44"/>
          <w:u w:val="none"/>
          <w:lang w:val="en-US" w:eastAsia="zh-CN"/>
        </w:rPr>
        <w:t>3</w:t>
      </w:r>
      <w:r>
        <w:rPr>
          <w:rFonts w:hint="eastAsia" w:ascii="仿宋_GB2312" w:hAnsi="仿宋_GB2312" w:eastAsia="仿宋_GB2312" w:cs="仿宋_GB2312"/>
          <w:bCs/>
          <w:color w:val="auto"/>
          <w:sz w:val="32"/>
          <w:szCs w:val="44"/>
          <w:u w:val="none"/>
        </w:rPr>
        <w:t>000字</w:t>
      </w:r>
      <w:r>
        <w:rPr>
          <w:rFonts w:hint="eastAsia" w:ascii="仿宋_GB2312" w:hAnsi="仿宋_GB2312" w:eastAsia="仿宋_GB2312" w:cs="仿宋_GB2312"/>
          <w:bCs/>
          <w:color w:val="auto"/>
          <w:sz w:val="32"/>
          <w:szCs w:val="44"/>
          <w:u w:val="none"/>
          <w:lang w:val="en-US" w:eastAsia="zh-CN"/>
        </w:rPr>
        <w:t>。</w:t>
      </w:r>
    </w:p>
    <w:p>
      <w:pPr>
        <w:keepNext w:val="0"/>
        <w:keepLines w:val="0"/>
        <w:pageBreakBefore w:val="0"/>
        <w:widowControl w:val="0"/>
        <w:kinsoku/>
        <w:wordWrap/>
        <w:overflowPunct/>
        <w:topLinePunct w:val="0"/>
        <w:autoSpaceDE/>
        <w:autoSpaceDN/>
        <w:bidi w:val="0"/>
        <w:adjustRightInd/>
        <w:spacing w:before="0" w:beforeLines="0" w:after="0" w:afterLines="0" w:line="560" w:lineRule="exact"/>
        <w:ind w:right="0" w:rightChars="0" w:firstLine="640"/>
        <w:textAlignment w:val="auto"/>
        <w:outlineLvl w:val="9"/>
        <w:rPr>
          <w:rFonts w:hint="eastAsia" w:ascii="仿宋_GB2312" w:hAnsi="仿宋_GB2312" w:eastAsia="仿宋_GB2312" w:cs="仿宋_GB2312"/>
          <w:b w:val="0"/>
          <w:bCs/>
          <w:color w:val="auto"/>
          <w:sz w:val="32"/>
          <w:szCs w:val="44"/>
          <w:u w:val="none"/>
          <w:lang w:val="en-US" w:eastAsia="zh-CN"/>
        </w:rPr>
      </w:pPr>
      <w:r>
        <w:rPr>
          <w:rFonts w:hint="eastAsia" w:ascii="仿宋_GB2312" w:hAnsi="仿宋_GB2312" w:eastAsia="仿宋_GB2312" w:cs="仿宋_GB2312"/>
          <w:bCs/>
          <w:color w:val="auto"/>
          <w:sz w:val="32"/>
          <w:szCs w:val="44"/>
          <w:u w:val="none"/>
          <w:lang w:val="en-US" w:eastAsia="zh-CN"/>
        </w:rPr>
        <w:t>3.案件</w:t>
      </w:r>
      <w:r>
        <w:rPr>
          <w:rFonts w:hint="eastAsia" w:ascii="仿宋_GB2312" w:hAnsi="仿宋_GB2312" w:eastAsia="仿宋_GB2312" w:cs="仿宋_GB2312"/>
          <w:b w:val="0"/>
          <w:bCs/>
          <w:color w:val="auto"/>
          <w:sz w:val="32"/>
          <w:szCs w:val="44"/>
          <w:u w:val="none"/>
          <w:lang w:val="en-US" w:eastAsia="zh-CN"/>
        </w:rPr>
        <w:t>证明资料。包括但不限于立案公告、抽样证明、实地核查证明、裁决公告、在中国贸易救济信息网或立案国立案机构官方途径可查询的案件通报网页截图等。</w:t>
      </w:r>
    </w:p>
    <w:p>
      <w:pPr>
        <w:keepNext w:val="0"/>
        <w:keepLines w:val="0"/>
        <w:pageBreakBefore w:val="0"/>
        <w:widowControl w:val="0"/>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4.申报承诺书。</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u w:val="none"/>
          <w:lang w:val="en-US" w:eastAsia="zh-CN"/>
        </w:rPr>
        <w:t>5.</w:t>
      </w:r>
      <w:r>
        <w:rPr>
          <w:rFonts w:hint="eastAsia" w:ascii="仿宋_GB2312" w:hAnsi="仿宋_GB2312" w:eastAsia="仿宋_GB2312" w:cs="仿宋_GB2312"/>
          <w:color w:val="auto"/>
          <w:sz w:val="32"/>
          <w:szCs w:val="32"/>
          <w:highlight w:val="none"/>
          <w:u w:val="none"/>
          <w:lang w:val="en-US" w:eastAsia="zh-CN"/>
        </w:rPr>
        <w:t>企业资质材料。</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u w:val="none"/>
          <w:lang w:val="en-US" w:eastAsia="zh-CN"/>
        </w:rPr>
        <w:t>营业执照复印件。</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u w:val="none"/>
          <w:lang w:val="en-US" w:eastAsia="zh-CN"/>
        </w:rPr>
      </w:pPr>
      <w:r>
        <w:rPr>
          <w:rFonts w:hint="eastAsia" w:ascii="仿宋_GB2312" w:hAnsi="仿宋_GB2312" w:eastAsia="仿宋_GB2312" w:cs="仿宋_GB2312"/>
          <w:color w:val="auto"/>
          <w:sz w:val="32"/>
          <w:u w:val="none"/>
          <w:lang w:eastAsia="zh-CN"/>
        </w:rPr>
        <w:t>（</w:t>
      </w:r>
      <w:r>
        <w:rPr>
          <w:rFonts w:hint="eastAsia" w:ascii="仿宋_GB2312" w:hAnsi="仿宋_GB2312" w:eastAsia="仿宋_GB2312" w:cs="仿宋_GB2312"/>
          <w:color w:val="auto"/>
          <w:sz w:val="32"/>
          <w:u w:val="none"/>
          <w:lang w:val="en-US" w:eastAsia="zh-CN"/>
        </w:rPr>
        <w:t>2）</w:t>
      </w:r>
      <w:r>
        <w:rPr>
          <w:rFonts w:hint="eastAsia" w:ascii="仿宋_GB2312" w:hAnsi="仿宋_GB2312" w:eastAsia="仿宋_GB2312" w:cs="仿宋_GB2312"/>
          <w:color w:val="auto"/>
          <w:sz w:val="32"/>
          <w:u w:val="none"/>
        </w:rPr>
        <w:t>企业诚信信息记录</w:t>
      </w:r>
      <w:r>
        <w:rPr>
          <w:rFonts w:hint="eastAsia" w:ascii="仿宋_GB2312" w:hAnsi="仿宋_GB2312" w:eastAsia="仿宋_GB2312" w:cs="仿宋_GB2312"/>
          <w:color w:val="auto"/>
          <w:sz w:val="32"/>
          <w:u w:val="none"/>
          <w:lang w:eastAsia="zh-CN"/>
        </w:rPr>
        <w:t>（可</w:t>
      </w:r>
      <w:r>
        <w:rPr>
          <w:rFonts w:hint="eastAsia" w:ascii="仿宋_GB2312" w:hAnsi="仿宋_GB2312" w:eastAsia="仿宋_GB2312" w:cs="仿宋_GB2312"/>
          <w:color w:val="auto"/>
          <w:sz w:val="32"/>
          <w:u w:val="none"/>
        </w:rPr>
        <w:t>在广东商务诚信公共服务平台http://www.gdintegrity.com下载</w:t>
      </w:r>
      <w:r>
        <w:rPr>
          <w:rFonts w:hint="eastAsia" w:ascii="仿宋_GB2312" w:hAnsi="仿宋_GB2312" w:eastAsia="仿宋_GB2312" w:cs="仿宋_GB2312"/>
          <w:color w:val="auto"/>
          <w:sz w:val="32"/>
          <w:u w:val="none"/>
          <w:lang w:eastAsia="zh-CN"/>
        </w:rPr>
        <w:t>）；如有处罚记录的</w:t>
      </w:r>
      <w:r>
        <w:rPr>
          <w:rFonts w:hint="eastAsia" w:ascii="仿宋_GB2312" w:hAnsi="仿宋_GB2312" w:eastAsia="仿宋_GB2312" w:cs="仿宋_GB2312"/>
          <w:color w:val="auto"/>
          <w:sz w:val="32"/>
          <w:u w:val="none"/>
          <w:lang w:val="en-US" w:eastAsia="zh-CN"/>
        </w:rPr>
        <w:t>,需另提交已缴纳相应罚款等消除处罚记录的证明材料。</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lang w:eastAsia="zh-CN"/>
        </w:rPr>
      </w:pPr>
      <w:r>
        <w:rPr>
          <w:rFonts w:hint="eastAsia" w:ascii="仿宋_GB2312" w:hAnsi="仿宋_GB2312" w:eastAsia="仿宋_GB2312" w:cs="仿宋_GB2312"/>
          <w:color w:val="auto"/>
          <w:sz w:val="32"/>
          <w:u w:val="none"/>
          <w:lang w:val="en-US" w:eastAsia="zh-CN"/>
        </w:rPr>
        <w:t>6.与案件直接相关的律师聘用合同、费用支付明细及相关凭证（包括银行水单、发票等）复印件。</w:t>
      </w:r>
      <w:r>
        <w:rPr>
          <w:rFonts w:hint="eastAsia" w:ascii="仿宋_GB2312" w:hAnsi="仿宋_GB2312" w:eastAsia="仿宋_GB2312" w:cs="仿宋_GB2312"/>
          <w:color w:val="auto"/>
          <w:sz w:val="32"/>
        </w:rPr>
        <w:t>涉外合同和文件需</w:t>
      </w:r>
      <w:r>
        <w:rPr>
          <w:rFonts w:hint="eastAsia" w:ascii="仿宋_GB2312" w:hAnsi="仿宋_GB2312" w:eastAsia="仿宋_GB2312" w:cs="仿宋_GB2312"/>
          <w:color w:val="auto"/>
          <w:sz w:val="32"/>
          <w:lang w:eastAsia="zh-CN"/>
        </w:rPr>
        <w:t>提供核心</w:t>
      </w:r>
      <w:r>
        <w:rPr>
          <w:rFonts w:hint="eastAsia" w:ascii="仿宋_GB2312" w:hAnsi="仿宋_GB2312" w:eastAsia="仿宋_GB2312" w:cs="仿宋_GB2312"/>
          <w:color w:val="auto"/>
          <w:sz w:val="32"/>
        </w:rPr>
        <w:t>内容的中文翻译件</w:t>
      </w:r>
      <w:r>
        <w:rPr>
          <w:rFonts w:hint="eastAsia" w:ascii="仿宋_GB2312" w:hAnsi="仿宋_GB2312" w:eastAsia="仿宋_GB2312" w:cs="仿宋_GB2312"/>
          <w:color w:val="auto"/>
          <w:sz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default"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7.企业</w:t>
      </w:r>
      <w:r>
        <w:rPr>
          <w:rFonts w:hint="eastAsia" w:eastAsia="仿宋_GB2312" w:cs="Times New Roman"/>
          <w:b w:val="0"/>
          <w:bCs w:val="0"/>
          <w:color w:val="auto"/>
          <w:kern w:val="0"/>
          <w:sz w:val="32"/>
          <w:lang w:val="en-US" w:eastAsia="zh-CN"/>
        </w:rPr>
        <w:t>财务核算与管理制度相关证明文件，包括但不限于第三方会计师事务所提供的财务报表审计报告、企业资产负债表、利润表、现金流量表、财务管理制度等。</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0" w:firstLineChars="0"/>
        <w:textAlignment w:val="auto"/>
        <w:outlineLvl w:val="9"/>
        <w:rPr>
          <w:rFonts w:hint="eastAsia" w:ascii="楷体_GB2312" w:hAnsi="楷体_GB2312" w:eastAsia="楷体_GB2312" w:cs="楷体_GB2312"/>
          <w:b w:val="0"/>
          <w:bCs/>
          <w:color w:val="auto"/>
          <w:sz w:val="32"/>
          <w:szCs w:val="44"/>
          <w:u w:val="none"/>
          <w:lang w:val="en-US" w:eastAsia="zh-CN"/>
        </w:rPr>
      </w:pPr>
      <w:r>
        <w:rPr>
          <w:rFonts w:hint="eastAsia" w:ascii="仿宋_GB2312" w:hAnsi="仿宋_GB2312" w:eastAsia="仿宋_GB2312" w:cs="仿宋_GB2312"/>
          <w:b w:val="0"/>
          <w:bCs/>
          <w:color w:val="auto"/>
          <w:sz w:val="32"/>
          <w:szCs w:val="44"/>
          <w:u w:val="none"/>
          <w:lang w:val="en-US" w:eastAsia="zh-CN"/>
        </w:rPr>
        <w:t xml:space="preserve">    </w:t>
      </w:r>
      <w:r>
        <w:rPr>
          <w:rFonts w:hint="eastAsia" w:ascii="楷体_GB2312" w:hAnsi="楷体_GB2312" w:eastAsia="楷体_GB2312" w:cs="楷体_GB2312"/>
          <w:b w:val="0"/>
          <w:bCs/>
          <w:color w:val="auto"/>
          <w:sz w:val="32"/>
          <w:szCs w:val="44"/>
          <w:u w:val="none"/>
          <w:lang w:val="en-US" w:eastAsia="zh-CN"/>
        </w:rPr>
        <w:t>（二）申报材料整理规范。</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eastAsia" w:ascii="仿宋_GB2312" w:hAnsi="仿宋_GB2312" w:eastAsia="仿宋_GB2312" w:cs="仿宋_GB2312"/>
          <w:bCs/>
          <w:color w:val="auto"/>
          <w:sz w:val="32"/>
          <w:szCs w:val="44"/>
          <w:u w:val="none"/>
          <w:lang w:eastAsia="zh-CN"/>
        </w:rPr>
      </w:pPr>
      <w:r>
        <w:rPr>
          <w:rFonts w:hint="eastAsia" w:ascii="仿宋_GB2312" w:hAnsi="仿宋_GB2312" w:eastAsia="仿宋_GB2312" w:cs="仿宋_GB2312"/>
          <w:bCs/>
          <w:color w:val="auto"/>
          <w:sz w:val="32"/>
          <w:szCs w:val="44"/>
          <w:u w:val="none"/>
          <w:lang w:eastAsia="zh-CN"/>
        </w:rPr>
        <w:t>以上申报材料需同时提供纸质版、电子版。纸质申报材料按以上顺序装订，加盖骑缝章。所有申报材料用原件扫描并以</w:t>
      </w:r>
      <w:r>
        <w:rPr>
          <w:rFonts w:hint="eastAsia" w:ascii="仿宋_GB2312" w:hAnsi="仿宋_GB2312" w:eastAsia="仿宋_GB2312" w:cs="仿宋_GB2312"/>
          <w:bCs/>
          <w:color w:val="auto"/>
          <w:sz w:val="32"/>
          <w:szCs w:val="44"/>
          <w:u w:val="none"/>
          <w:lang w:val="en-US" w:eastAsia="zh-CN"/>
        </w:rPr>
        <w:t>PDF格式存档，其中，研究报告还需同时提供DOC、DOCX或WPS版，全部电子版文件保存在以</w:t>
      </w:r>
      <w:r>
        <w:rPr>
          <w:rFonts w:hint="eastAsia" w:ascii="仿宋_GB2312" w:hAnsi="仿宋_GB2312" w:eastAsia="仿宋_GB2312" w:cs="仿宋_GB2312"/>
          <w:color w:val="auto"/>
          <w:sz w:val="32"/>
          <w:szCs w:val="32"/>
          <w:u w:val="none"/>
          <w:lang w:val="en-US" w:eastAsia="zh-CN"/>
        </w:rPr>
        <w:t>“地市-企业-案件”命名的文件夹内。</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27" w:firstLineChars="196"/>
        <w:textAlignment w:val="auto"/>
        <w:outlineLvl w:val="9"/>
        <w:rPr>
          <w:rFonts w:hint="eastAsia" w:ascii="仿宋_GB2312" w:hAnsi="仿宋_GB2312" w:eastAsia="仿宋_GB2312" w:cs="仿宋_GB2312"/>
          <w:bCs/>
          <w:color w:val="auto"/>
          <w:sz w:val="32"/>
          <w:szCs w:val="44"/>
          <w:u w:val="none"/>
          <w:lang w:eastAsia="zh-CN"/>
        </w:rPr>
      </w:pPr>
      <w:r>
        <w:rPr>
          <w:rFonts w:hint="eastAsia" w:ascii="仿宋_GB2312" w:hAnsi="仿宋_GB2312" w:eastAsia="仿宋_GB2312" w:cs="仿宋_GB2312"/>
          <w:bCs/>
          <w:color w:val="auto"/>
          <w:sz w:val="32"/>
          <w:szCs w:val="44"/>
          <w:u w:val="none"/>
          <w:lang w:eastAsia="zh-CN"/>
        </w:rPr>
        <w:t>以上申报材料一式两份，省商务厅和地市商务局各留存一份。</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黑体" w:hAnsi="黑体" w:eastAsia="黑体" w:cs="黑体"/>
          <w:color w:val="auto"/>
          <w:sz w:val="32"/>
          <w:u w:val="none"/>
          <w:lang w:val="en-US" w:eastAsia="zh-CN"/>
        </w:rPr>
      </w:pPr>
      <w:r>
        <w:rPr>
          <w:rFonts w:hint="eastAsia" w:ascii="黑体" w:hAnsi="黑体" w:eastAsia="黑体" w:cs="黑体"/>
          <w:color w:val="auto"/>
          <w:sz w:val="32"/>
          <w:u w:val="none"/>
          <w:lang w:val="en-US" w:eastAsia="zh-CN"/>
        </w:rPr>
        <w:t>六、申请入库程序</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各地市商务局负责合理安排本地企业申报材料提交时间，组织申报及本地区企业申报材料初审，2023年3月1日前将初审情况汇总报省商务厅，逾期不予受理。</w:t>
      </w:r>
    </w:p>
    <w:p>
      <w:pPr>
        <w:keepNext w:val="0"/>
        <w:keepLines w:val="0"/>
        <w:pageBreakBefore w:val="0"/>
        <w:widowControl w:val="0"/>
        <w:numPr>
          <w:ilvl w:val="0"/>
          <w:numId w:val="3"/>
        </w:numPr>
        <w:kinsoku/>
        <w:wordWrap/>
        <w:overflowPunct/>
        <w:topLinePunct w:val="0"/>
        <w:autoSpaceDE/>
        <w:autoSpaceDN/>
        <w:bidi w:val="0"/>
        <w:adjustRightInd/>
        <w:snapToGrid/>
        <w:spacing w:before="0" w:beforeLines="0" w:after="0" w:afterLines="0" w:line="560" w:lineRule="exact"/>
        <w:ind w:right="0" w:rightChars="0" w:firstLine="640" w:firstLineChars="0"/>
        <w:textAlignment w:val="auto"/>
        <w:outlineLvl w:val="9"/>
        <w:rPr>
          <w:rFonts w:hint="eastAsia" w:ascii="黑体" w:hAnsi="黑体" w:eastAsia="黑体" w:cs="黑体"/>
          <w:color w:val="auto"/>
          <w:sz w:val="32"/>
          <w:u w:val="none"/>
          <w:lang w:val="en-US" w:eastAsia="zh-CN"/>
        </w:rPr>
      </w:pPr>
      <w:r>
        <w:rPr>
          <w:rFonts w:hint="eastAsia" w:ascii="黑体" w:hAnsi="黑体" w:eastAsia="黑体" w:cs="黑体"/>
          <w:color w:val="auto"/>
          <w:sz w:val="32"/>
          <w:u w:val="none"/>
          <w:lang w:val="en-US" w:eastAsia="zh-CN"/>
        </w:rPr>
        <w:t>项目评审和资金拨付</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firstLineChars="0"/>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省商务厅</w:t>
      </w:r>
      <w:r>
        <w:rPr>
          <w:rFonts w:hint="eastAsia" w:ascii="仿宋_GB2312" w:hAnsi="仿宋_GB2312" w:eastAsia="仿宋_GB2312" w:cs="仿宋_GB2312"/>
          <w:color w:val="auto"/>
          <w:sz w:val="32"/>
          <w:szCs w:val="32"/>
          <w:highlight w:val="none"/>
          <w:u w:val="none"/>
          <w:lang w:eastAsia="zh-CN"/>
        </w:rPr>
        <w:t>按照独立、客观、公正和科学的原则，</w:t>
      </w:r>
      <w:r>
        <w:rPr>
          <w:rFonts w:hint="eastAsia" w:ascii="仿宋_GB2312" w:hAnsi="仿宋_GB2312" w:eastAsia="仿宋_GB2312"/>
          <w:color w:val="auto"/>
          <w:sz w:val="32"/>
          <w:szCs w:val="32"/>
          <w:u w:val="none"/>
          <w:lang w:eastAsia="zh-CN"/>
        </w:rPr>
        <w:t>组织第三方中介机构和专家开展项目评审、抽查复核，并视情况开展现场复核。</w:t>
      </w:r>
      <w:r>
        <w:rPr>
          <w:rFonts w:hint="eastAsia" w:ascii="仿宋_GB2312" w:hAnsi="仿宋_GB2312" w:eastAsia="仿宋_GB2312" w:cs="仿宋_GB2312"/>
          <w:color w:val="auto"/>
          <w:sz w:val="32"/>
          <w:szCs w:val="32"/>
          <w:highlight w:val="none"/>
          <w:u w:val="none"/>
          <w:lang w:eastAsia="zh-CN"/>
        </w:rPr>
        <w:t>项目评审通过纳入项目库储备。省商务厅将根据实际支持内容和资金额度制定资金分配方案，按程序公示和下达项目计划。专项资金按财政预算级次拨付。</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textAlignment w:val="auto"/>
        <w:outlineLvl w:val="9"/>
        <w:rPr>
          <w:rFonts w:hint="eastAsia" w:ascii="黑体" w:hAnsi="黑体" w:eastAsia="黑体" w:cs="黑体"/>
          <w:b w:val="0"/>
          <w:bCs w:val="0"/>
          <w:color w:val="auto"/>
          <w:sz w:val="32"/>
          <w:szCs w:val="32"/>
          <w:u w:val="none"/>
          <w:lang w:eastAsia="zh-CN"/>
        </w:rPr>
      </w:pPr>
      <w:r>
        <w:rPr>
          <w:rFonts w:hint="eastAsia" w:ascii="黑体" w:hAnsi="黑体" w:eastAsia="黑体" w:cs="黑体"/>
          <w:color w:val="auto"/>
          <w:sz w:val="32"/>
          <w:u w:val="none"/>
          <w:lang w:eastAsia="zh-CN"/>
        </w:rPr>
        <w:t>八、</w:t>
      </w:r>
      <w:r>
        <w:rPr>
          <w:rFonts w:hint="eastAsia" w:ascii="黑体" w:hAnsi="黑体" w:eastAsia="黑体" w:cs="黑体"/>
          <w:b w:val="0"/>
          <w:bCs w:val="0"/>
          <w:color w:val="auto"/>
          <w:sz w:val="32"/>
          <w:szCs w:val="32"/>
          <w:u w:val="none"/>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640" w:firstLineChars="200"/>
        <w:textAlignment w:val="auto"/>
        <w:outlineLvl w:val="9"/>
        <w:rPr>
          <w:rFonts w:hint="eastAsia" w:ascii="仿宋_GB2312" w:hAnsi="仿宋_GB2312" w:eastAsia="仿宋_GB2312"/>
          <w:color w:val="auto"/>
          <w:sz w:val="32"/>
          <w:szCs w:val="32"/>
          <w:u w:val="none"/>
        </w:rPr>
      </w:pPr>
      <w:r>
        <w:rPr>
          <w:rFonts w:hint="eastAsia" w:ascii="仿宋_GB2312" w:hAnsi="仿宋_GB2312" w:eastAsia="仿宋_GB2312"/>
          <w:b w:val="0"/>
          <w:bCs w:val="0"/>
          <w:color w:val="auto"/>
          <w:sz w:val="32"/>
          <w:szCs w:val="32"/>
          <w:u w:val="none"/>
        </w:rPr>
        <w:t>本申报</w:t>
      </w:r>
      <w:r>
        <w:rPr>
          <w:rFonts w:hint="eastAsia" w:ascii="仿宋_GB2312" w:hAnsi="仿宋_GB2312" w:eastAsia="仿宋_GB2312"/>
          <w:b w:val="0"/>
          <w:bCs w:val="0"/>
          <w:color w:val="auto"/>
          <w:sz w:val="32"/>
          <w:szCs w:val="32"/>
          <w:u w:val="none"/>
          <w:lang w:eastAsia="zh-CN"/>
        </w:rPr>
        <w:t>指南</w:t>
      </w:r>
      <w:r>
        <w:rPr>
          <w:rFonts w:hint="eastAsia" w:ascii="仿宋_GB2312" w:hAnsi="仿宋_GB2312" w:eastAsia="仿宋_GB2312"/>
          <w:color w:val="auto"/>
          <w:sz w:val="32"/>
          <w:szCs w:val="32"/>
          <w:u w:val="none"/>
        </w:rPr>
        <w:t>仅作为项</w:t>
      </w:r>
      <w:r>
        <w:rPr>
          <w:rFonts w:hint="eastAsia" w:ascii="仿宋_GB2312" w:hAnsi="仿宋_GB2312" w:eastAsia="仿宋_GB2312"/>
          <w:color w:val="auto"/>
          <w:sz w:val="32"/>
          <w:szCs w:val="32"/>
          <w:highlight w:val="none"/>
          <w:u w:val="none"/>
        </w:rPr>
        <w:t>目入库工作指导，202</w:t>
      </w:r>
      <w:r>
        <w:rPr>
          <w:rFonts w:hint="eastAsia" w:ascii="仿宋_GB2312" w:hAnsi="仿宋_GB2312" w:eastAsia="仿宋_GB2312"/>
          <w:color w:val="auto"/>
          <w:sz w:val="32"/>
          <w:szCs w:val="32"/>
          <w:highlight w:val="none"/>
          <w:u w:val="none"/>
          <w:lang w:val="en-US" w:eastAsia="zh-CN"/>
        </w:rPr>
        <w:t>3</w:t>
      </w:r>
      <w:r>
        <w:rPr>
          <w:rFonts w:hint="eastAsia" w:ascii="仿宋_GB2312" w:hAnsi="仿宋_GB2312" w:eastAsia="仿宋_GB2312"/>
          <w:color w:val="auto"/>
          <w:sz w:val="32"/>
          <w:szCs w:val="32"/>
          <w:highlight w:val="none"/>
          <w:u w:val="none"/>
        </w:rPr>
        <w:t>年</w:t>
      </w:r>
      <w:r>
        <w:rPr>
          <w:rFonts w:hint="eastAsia" w:ascii="仿宋_GB2312" w:hAnsi="仿宋_GB2312" w:eastAsia="仿宋_GB2312"/>
          <w:color w:val="auto"/>
          <w:sz w:val="32"/>
          <w:szCs w:val="32"/>
          <w:highlight w:val="none"/>
          <w:u w:val="none"/>
          <w:lang w:eastAsia="zh-CN"/>
        </w:rPr>
        <w:t>中央</w:t>
      </w:r>
      <w:r>
        <w:rPr>
          <w:rFonts w:hint="eastAsia" w:ascii="仿宋_GB2312" w:hAnsi="仿宋_GB2312" w:eastAsia="仿宋_GB2312"/>
          <w:color w:val="auto"/>
          <w:sz w:val="32"/>
          <w:szCs w:val="32"/>
          <w:highlight w:val="none"/>
          <w:u w:val="none"/>
        </w:rPr>
        <w:t>外经贸发展专项资金（</w:t>
      </w:r>
      <w:r>
        <w:rPr>
          <w:rFonts w:hint="eastAsia" w:ascii="仿宋_GB2312" w:hAnsi="仿宋_GB2312" w:eastAsia="仿宋_GB2312"/>
          <w:color w:val="auto"/>
          <w:sz w:val="32"/>
          <w:szCs w:val="32"/>
          <w:highlight w:val="none"/>
          <w:u w:val="none"/>
          <w:lang w:eastAsia="zh-CN"/>
        </w:rPr>
        <w:t>应对贸易摩擦</w:t>
      </w:r>
      <w:r>
        <w:rPr>
          <w:rFonts w:hint="eastAsia" w:ascii="仿宋_GB2312" w:hAnsi="仿宋_GB2312" w:eastAsia="仿宋_GB2312"/>
          <w:color w:val="auto"/>
          <w:sz w:val="32"/>
          <w:szCs w:val="32"/>
          <w:highlight w:val="none"/>
          <w:u w:val="none"/>
        </w:rPr>
        <w:t>事项）的具体</w:t>
      </w:r>
      <w:r>
        <w:rPr>
          <w:rFonts w:hint="eastAsia" w:ascii="仿宋_GB2312" w:hAnsi="仿宋_GB2312" w:eastAsia="仿宋_GB2312"/>
          <w:color w:val="auto"/>
          <w:sz w:val="32"/>
          <w:szCs w:val="32"/>
          <w:u w:val="none"/>
        </w:rPr>
        <w:t>支持方向以财政部、商务部202</w:t>
      </w:r>
      <w:r>
        <w:rPr>
          <w:rFonts w:hint="eastAsia" w:ascii="仿宋_GB2312" w:hAnsi="仿宋_GB2312" w:eastAsia="仿宋_GB2312"/>
          <w:color w:val="auto"/>
          <w:sz w:val="32"/>
          <w:szCs w:val="32"/>
          <w:u w:val="none"/>
          <w:lang w:val="en-US" w:eastAsia="zh-CN"/>
        </w:rPr>
        <w:t>3</w:t>
      </w:r>
      <w:r>
        <w:rPr>
          <w:rFonts w:hint="eastAsia" w:ascii="仿宋_GB2312" w:hAnsi="仿宋_GB2312" w:eastAsia="仿宋_GB2312"/>
          <w:color w:val="auto"/>
          <w:sz w:val="32"/>
          <w:szCs w:val="32"/>
          <w:u w:val="none"/>
        </w:rPr>
        <w:t>年度外经贸发展专项资金重点工作通知为准。</w:t>
      </w: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olor w:val="auto"/>
          <w:sz w:val="32"/>
          <w:szCs w:val="32"/>
          <w:u w:val="none"/>
        </w:rPr>
      </w:pPr>
      <w:r>
        <w:rPr>
          <w:rFonts w:hint="eastAsia" w:ascii="仿宋_GB2312" w:hAnsi="仿宋_GB2312" w:eastAsia="仿宋_GB2312"/>
          <w:b w:val="0"/>
          <w:bCs w:val="0"/>
          <w:color w:val="auto"/>
          <w:sz w:val="32"/>
          <w:szCs w:val="32"/>
          <w:u w:val="none"/>
        </w:rPr>
        <w:t>本</w:t>
      </w:r>
      <w:r>
        <w:rPr>
          <w:rFonts w:hint="eastAsia" w:ascii="仿宋_GB2312" w:hAnsi="仿宋_GB2312" w:eastAsia="仿宋_GB2312"/>
          <w:b w:val="0"/>
          <w:bCs w:val="0"/>
          <w:color w:val="auto"/>
          <w:sz w:val="32"/>
          <w:szCs w:val="32"/>
          <w:u w:val="none"/>
          <w:lang w:eastAsia="zh-CN"/>
        </w:rPr>
        <w:t>指南</w:t>
      </w:r>
      <w:r>
        <w:rPr>
          <w:rFonts w:hint="eastAsia" w:ascii="仿宋_GB2312" w:hAnsi="仿宋_GB2312" w:eastAsia="仿宋_GB2312"/>
          <w:color w:val="auto"/>
          <w:sz w:val="32"/>
          <w:szCs w:val="32"/>
          <w:u w:val="none"/>
        </w:rPr>
        <w:t>由广东省商务厅负责解释。</w:t>
      </w: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olor w:val="auto"/>
          <w:sz w:val="32"/>
          <w:szCs w:val="32"/>
          <w:u w:val="none"/>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right="0" w:rightChars="0" w:firstLine="645"/>
        <w:textAlignment w:val="auto"/>
        <w:outlineLvl w:val="9"/>
        <w:rPr>
          <w:rFonts w:hint="eastAsia" w:ascii="仿宋_GB2312" w:hAnsi="仿宋_GB2312" w:eastAsia="仿宋_GB2312"/>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0" w:leftChars="0" w:right="0" w:rightChars="0" w:firstLine="645" w:firstLineChars="0"/>
        <w:textAlignment w:val="auto"/>
        <w:outlineLvl w:val="9"/>
        <w:rPr>
          <w:rFonts w:hint="eastAsia" w:ascii="仿宋_GB2312" w:hAnsi="仿宋_GB2312" w:eastAsia="仿宋_GB2312" w:cs="仿宋_GB2312"/>
          <w:i w:val="0"/>
          <w:color w:val="auto"/>
          <w:kern w:val="2"/>
          <w:sz w:val="32"/>
          <w:szCs w:val="32"/>
          <w:u w:val="none"/>
          <w:lang w:val="en-US" w:eastAsia="zh-CN" w:bidi="ar"/>
        </w:rPr>
      </w:pPr>
    </w:p>
    <w:p>
      <w:pPr>
        <w:keepNext w:val="0"/>
        <w:keepLines w:val="0"/>
        <w:pageBreakBefore w:val="0"/>
        <w:widowControl/>
        <w:numPr>
          <w:ilvl w:val="0"/>
          <w:numId w:val="0"/>
        </w:numPr>
        <w:kinsoku/>
        <w:wordWrap/>
        <w:overflowPunct/>
        <w:topLinePunct w:val="0"/>
        <w:autoSpaceDE/>
        <w:autoSpaceDN/>
        <w:bidi w:val="0"/>
        <w:adjustRightInd/>
        <w:snapToGrid w:val="0"/>
        <w:spacing w:before="0" w:beforeLines="0" w:after="0" w:afterLines="0" w:line="560" w:lineRule="exact"/>
        <w:ind w:left="1916" w:leftChars="760" w:right="0" w:rightChars="0" w:hanging="320" w:hangingChars="100"/>
        <w:textAlignment w:val="auto"/>
        <w:outlineLvl w:val="9"/>
        <w:rPr>
          <w:rFonts w:hint="eastAsia" w:ascii="仿宋_GB2312" w:hAnsi="仿宋_GB2312" w:eastAsia="仿宋_GB2312" w:cs="仿宋_GB2312"/>
          <w:i w:val="0"/>
          <w:color w:val="auto"/>
          <w:kern w:val="2"/>
          <w:sz w:val="32"/>
          <w:szCs w:val="32"/>
          <w:u w:val="none"/>
          <w:lang w:val="en-US" w:eastAsia="zh-CN" w:bidi="ar"/>
        </w:rPr>
      </w:pPr>
    </w:p>
    <w:p>
      <w:pPr>
        <w:keepNext w:val="0"/>
        <w:keepLines w:val="0"/>
        <w:pageBreakBefore w:val="0"/>
        <w:widowControl/>
        <w:numPr>
          <w:ilvl w:val="0"/>
          <w:numId w:val="0"/>
        </w:numPr>
        <w:kinsoku/>
        <w:wordWrap/>
        <w:overflowPunct/>
        <w:topLinePunct w:val="0"/>
        <w:autoSpaceDE/>
        <w:autoSpaceDN/>
        <w:bidi w:val="0"/>
        <w:adjustRightInd/>
        <w:snapToGrid w:val="0"/>
        <w:spacing w:before="0" w:beforeLines="0" w:after="0" w:afterLines="0" w:line="560" w:lineRule="exact"/>
        <w:ind w:left="1916" w:leftChars="760" w:right="0" w:rightChars="0" w:hanging="320" w:hangingChars="100"/>
        <w:textAlignment w:val="auto"/>
        <w:outlineLvl w:val="9"/>
        <w:rPr>
          <w:rFonts w:hint="eastAsia" w:ascii="仿宋_GB2312" w:hAnsi="仿宋_GB2312" w:eastAsia="仿宋_GB2312" w:cs="仿宋_GB2312"/>
          <w:i w:val="0"/>
          <w:color w:val="auto"/>
          <w:kern w:val="2"/>
          <w:sz w:val="32"/>
          <w:szCs w:val="32"/>
          <w:u w:val="none"/>
          <w:lang w:val="en-US" w:eastAsia="zh-CN" w:bidi="ar"/>
        </w:rPr>
      </w:pPr>
    </w:p>
    <w:p>
      <w:pPr>
        <w:rPr>
          <w:rFonts w:hint="eastAsia" w:ascii="黑体" w:hAnsi="黑体" w:eastAsia="黑体" w:cs="黑体"/>
          <w:i w:val="0"/>
          <w:color w:val="auto"/>
          <w:kern w:val="0"/>
          <w:sz w:val="32"/>
          <w:szCs w:val="32"/>
          <w:highlight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0" w:right="0" w:rightChars="0" w:firstLine="0" w:firstLineChars="0"/>
        <w:jc w:val="center"/>
        <w:textAlignment w:val="auto"/>
        <w:outlineLvl w:val="9"/>
        <w:rPr>
          <w:rFonts w:hint="eastAsia" w:ascii="方正大标宋简体" w:hAnsi="方正大标宋简体" w:eastAsia="方正大标宋简体" w:cs="方正大标宋简体"/>
          <w:color w:val="auto"/>
          <w:sz w:val="44"/>
          <w:szCs w:val="44"/>
          <w:highlight w:val="none"/>
          <w:u w:val="none"/>
          <w:lang w:val="en-US" w:eastAsia="zh-CN"/>
        </w:rPr>
      </w:pPr>
      <w:r>
        <w:rPr>
          <w:rFonts w:hint="eastAsia" w:ascii="方正大标宋简体" w:hAnsi="方正大标宋简体" w:eastAsia="方正大标宋简体" w:cs="方正大标宋简体"/>
          <w:color w:val="auto"/>
          <w:sz w:val="44"/>
          <w:szCs w:val="44"/>
          <w:highlight w:val="none"/>
          <w:u w:val="none"/>
          <w:lang w:val="en-US" w:eastAsia="zh-CN"/>
        </w:rPr>
        <w:t>2023年中央外经贸发展专项资金（应对贸易</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left="0" w:right="0" w:rightChars="0" w:firstLine="0" w:firstLineChars="0"/>
        <w:jc w:val="center"/>
        <w:textAlignment w:val="auto"/>
        <w:outlineLvl w:val="9"/>
        <w:rPr>
          <w:rFonts w:hint="eastAsia" w:ascii="方正大标宋简体" w:hAnsi="方正大标宋简体" w:eastAsia="方正大标宋简体" w:cs="方正大标宋简体"/>
          <w:color w:val="auto"/>
          <w:sz w:val="44"/>
          <w:szCs w:val="44"/>
          <w:highlight w:val="none"/>
          <w:u w:val="none"/>
          <w:lang w:val="en-US" w:eastAsia="zh-CN"/>
        </w:rPr>
      </w:pPr>
      <w:r>
        <w:rPr>
          <w:rFonts w:hint="eastAsia" w:ascii="方正大标宋简体" w:hAnsi="方正大标宋简体" w:eastAsia="方正大标宋简体" w:cs="方正大标宋简体"/>
          <w:color w:val="auto"/>
          <w:sz w:val="44"/>
          <w:szCs w:val="44"/>
          <w:highlight w:val="none"/>
          <w:u w:val="none"/>
          <w:lang w:val="en-US" w:eastAsia="zh-CN"/>
        </w:rPr>
        <w:t>摩擦事项）申报指南说明</w:t>
      </w:r>
    </w:p>
    <w:p>
      <w:pPr>
        <w:rPr>
          <w:rFonts w:hint="eastAsia" w:ascii="仿宋_GB2312" w:hAnsi="仿宋_GB2312" w:eastAsia="仿宋_GB2312" w:cs="仿宋_GB2312"/>
          <w:i w:val="0"/>
          <w:color w:val="auto"/>
          <w:kern w:val="0"/>
          <w:sz w:val="32"/>
          <w:szCs w:val="32"/>
          <w:lang w:val="en-US" w:eastAsia="zh-CN" w:bidi="ar"/>
        </w:rPr>
      </w:pPr>
    </w:p>
    <w:p>
      <w:pPr>
        <w:spacing w:line="560" w:lineRule="exact"/>
        <w:rPr>
          <w:rFonts w:hint="eastAsia" w:ascii="仿宋_GB2312" w:hAnsi="仿宋_GB2312" w:eastAsia="仿宋_GB2312"/>
          <w:b w:val="0"/>
          <w:bCs/>
          <w:color w:val="auto"/>
          <w:sz w:val="32"/>
          <w:szCs w:val="44"/>
          <w:u w:val="none"/>
          <w:lang w:val="en-US" w:eastAsia="zh-CN"/>
        </w:rPr>
      </w:pPr>
      <w:r>
        <w:rPr>
          <w:rFonts w:hint="eastAsia" w:ascii="仿宋_GB2312" w:hAnsi="仿宋_GB2312" w:eastAsia="仿宋_GB2312"/>
          <w:color w:val="auto"/>
          <w:sz w:val="32"/>
          <w:highlight w:val="none"/>
          <w:u w:val="none"/>
          <w:lang w:val="en-US" w:eastAsia="zh-CN"/>
        </w:rPr>
        <w:t xml:space="preserve">    1.“两反一保”案件胜诉一般指</w:t>
      </w:r>
      <w:r>
        <w:rPr>
          <w:rFonts w:hint="eastAsia" w:ascii="仿宋_GB2312" w:hAnsi="仿宋_GB2312" w:eastAsia="仿宋_GB2312" w:cs="仿宋_GB2312"/>
          <w:sz w:val="32"/>
          <w:szCs w:val="32"/>
        </w:rPr>
        <w:t>申请人撤诉、</w:t>
      </w:r>
      <w:r>
        <w:rPr>
          <w:rFonts w:hint="eastAsia" w:ascii="仿宋_GB2312" w:hAnsi="仿宋_GB2312" w:eastAsia="仿宋_GB2312" w:cs="仿宋_GB2312"/>
          <w:sz w:val="32"/>
          <w:szCs w:val="32"/>
          <w:lang w:eastAsia="zh-CN"/>
        </w:rPr>
        <w:t>获得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税率</w:t>
      </w:r>
      <w:r>
        <w:rPr>
          <w:rFonts w:hint="eastAsia" w:ascii="仿宋_GB2312" w:hAnsi="仿宋_GB2312" w:eastAsia="仿宋_GB2312" w:cs="仿宋_GB2312"/>
          <w:sz w:val="32"/>
          <w:szCs w:val="32"/>
          <w:lang w:eastAsia="zh-CN"/>
        </w:rPr>
        <w:t>或者</w:t>
      </w:r>
      <w:r>
        <w:rPr>
          <w:rFonts w:hint="eastAsia" w:ascii="仿宋_GB2312" w:hAnsi="仿宋_GB2312" w:eastAsia="仿宋_GB2312" w:cs="仿宋_GB2312"/>
          <w:sz w:val="32"/>
          <w:szCs w:val="32"/>
        </w:rPr>
        <w:t>最低税率，不包括价格承诺</w:t>
      </w:r>
      <w:r>
        <w:rPr>
          <w:rFonts w:hint="eastAsia" w:ascii="仿宋_GB2312" w:hAnsi="仿宋_GB2312" w:eastAsia="仿宋_GB2312" w:cs="仿宋_GB2312"/>
          <w:sz w:val="32"/>
          <w:szCs w:val="32"/>
          <w:lang w:eastAsia="zh-CN"/>
        </w:rPr>
        <w:t>。胜诉需提供“中国贸易救济信息网”或</w:t>
      </w:r>
      <w:r>
        <w:rPr>
          <w:rFonts w:hint="eastAsia" w:ascii="仿宋_GB2312" w:hAnsi="仿宋_GB2312" w:eastAsia="仿宋_GB2312"/>
          <w:b w:val="0"/>
          <w:bCs/>
          <w:color w:val="auto"/>
          <w:sz w:val="32"/>
          <w:szCs w:val="44"/>
          <w:u w:val="none"/>
          <w:lang w:val="en-US" w:eastAsia="zh-CN"/>
        </w:rPr>
        <w:t>立案国立案机构官方途径可查询的案件通报网页截图（标识了企业名称）作为佐证材料。</w:t>
      </w:r>
    </w:p>
    <w:p>
      <w:pPr>
        <w:numPr>
          <w:ilvl w:val="0"/>
          <w:numId w:val="0"/>
        </w:numPr>
        <w:spacing w:line="560" w:lineRule="exact"/>
        <w:ind w:leftChars="0" w:firstLine="640" w:firstLineChars="200"/>
        <w:rPr>
          <w:rFonts w:hint="eastAsia" w:ascii="仿宋_GB2312" w:hAnsi="仿宋_GB2312" w:eastAsia="仿宋_GB2312"/>
          <w:b w:val="0"/>
          <w:bCs w:val="0"/>
          <w:color w:val="auto"/>
          <w:sz w:val="32"/>
          <w:szCs w:val="24"/>
          <w:highlight w:val="none"/>
          <w:u w:val="single"/>
          <w:lang w:val="en-US" w:eastAsia="zh-CN"/>
        </w:rPr>
      </w:pPr>
      <w:r>
        <w:rPr>
          <w:rFonts w:hint="eastAsia" w:ascii="仿宋_GB2312" w:hAnsi="仿宋_GB2312" w:eastAsia="仿宋_GB2312"/>
          <w:b w:val="0"/>
          <w:bCs w:val="0"/>
          <w:color w:val="auto"/>
          <w:sz w:val="32"/>
          <w:szCs w:val="24"/>
          <w:highlight w:val="none"/>
          <w:u w:val="none"/>
          <w:lang w:val="en-US" w:eastAsia="zh-CN"/>
        </w:rPr>
        <w:t>2.</w:t>
      </w:r>
      <w:r>
        <w:rPr>
          <w:rFonts w:hint="eastAsia" w:ascii="仿宋_GB2312" w:hAnsi="仿宋_GB2312" w:eastAsia="仿宋_GB2312"/>
          <w:b w:val="0"/>
          <w:bCs w:val="0"/>
          <w:color w:val="auto"/>
          <w:sz w:val="32"/>
          <w:highlight w:val="none"/>
          <w:u w:val="none"/>
          <w:lang w:val="en-US" w:eastAsia="zh-CN"/>
        </w:rPr>
        <w:t>对外贸易有关的知识产权争端应对胜诉一般包括终裁的</w:t>
      </w:r>
      <w:r>
        <w:rPr>
          <w:rFonts w:hint="eastAsia" w:ascii="仿宋_GB2312" w:hAnsi="仿宋_GB2312" w:eastAsia="仿宋_GB2312" w:cs="Times New Roman"/>
          <w:color w:val="auto"/>
          <w:sz w:val="32"/>
          <w:szCs w:val="24"/>
          <w:highlight w:val="none"/>
        </w:rPr>
        <w:t>申请人撤诉、专利无效、专利不侵权，不包括和解。</w:t>
      </w:r>
      <w:r>
        <w:rPr>
          <w:rFonts w:hint="eastAsia" w:ascii="仿宋_GB2312" w:hAnsi="仿宋_GB2312" w:eastAsia="仿宋_GB2312" w:cs="Times New Roman"/>
          <w:color w:val="auto"/>
          <w:sz w:val="32"/>
          <w:szCs w:val="24"/>
          <w:highlight w:val="none"/>
          <w:lang w:eastAsia="zh-CN"/>
        </w:rPr>
        <w:t>胜诉需提供“中国贸易救济信息网”</w:t>
      </w:r>
      <w:r>
        <w:rPr>
          <w:rFonts w:hint="eastAsia" w:ascii="仿宋_GB2312" w:hAnsi="仿宋_GB2312" w:eastAsia="仿宋_GB2312"/>
          <w:b w:val="0"/>
          <w:bCs w:val="0"/>
          <w:color w:val="auto"/>
          <w:sz w:val="32"/>
          <w:szCs w:val="24"/>
          <w:highlight w:val="none"/>
          <w:u w:val="none"/>
          <w:lang w:val="en-US" w:eastAsia="zh-CN"/>
        </w:rPr>
        <w:t>网页截图（标识了企业名称）作为佐证材料。</w:t>
      </w:r>
    </w:p>
    <w:p>
      <w:pPr>
        <w:numPr>
          <w:ilvl w:val="0"/>
          <w:numId w:val="0"/>
        </w:numPr>
        <w:spacing w:line="560" w:lineRule="exact"/>
        <w:ind w:firstLine="640" w:firstLineChars="0"/>
        <w:rPr>
          <w:rFonts w:hint="eastAsia" w:ascii="仿宋_GB2312" w:hAnsi="仿宋_GB2312" w:eastAsia="仿宋_GB2312"/>
          <w:color w:val="FF0000"/>
          <w:sz w:val="32"/>
          <w:u w:val="none"/>
          <w:lang w:val="en-US" w:eastAsia="zh-CN"/>
        </w:rPr>
      </w:pPr>
      <w:r>
        <w:rPr>
          <w:rFonts w:hint="eastAsia" w:ascii="仿宋_GB2312" w:hAnsi="仿宋_GB2312" w:eastAsia="仿宋_GB2312"/>
          <w:b w:val="0"/>
          <w:bCs w:val="0"/>
          <w:color w:val="auto"/>
          <w:sz w:val="32"/>
          <w:szCs w:val="24"/>
          <w:highlight w:val="none"/>
          <w:u w:val="none"/>
          <w:lang w:val="en-US" w:eastAsia="zh-CN"/>
        </w:rPr>
        <w:t>3.</w:t>
      </w:r>
      <w:r>
        <w:rPr>
          <w:rFonts w:hint="eastAsia" w:ascii="仿宋_GB2312" w:hAnsi="仿宋_GB2312" w:eastAsia="仿宋_GB2312"/>
          <w:color w:val="auto"/>
          <w:sz w:val="32"/>
          <w:u w:val="none"/>
          <w:lang w:val="en-US" w:eastAsia="zh-CN"/>
        </w:rPr>
        <w:t>同一案件多次复审的，每参与一次复审且符合申报条件的，可申请入库。</w:t>
      </w:r>
    </w:p>
    <w:p>
      <w:pPr>
        <w:keepNext w:val="0"/>
        <w:keepLines w:val="0"/>
        <w:pageBreakBefore w:val="0"/>
        <w:widowControl w:val="0"/>
        <w:numPr>
          <w:ilvl w:val="0"/>
          <w:numId w:val="0"/>
        </w:numPr>
        <w:kinsoku/>
        <w:wordWrap/>
        <w:overflowPunct/>
        <w:topLinePunct w:val="0"/>
        <w:autoSpaceDE/>
        <w:autoSpaceDN/>
        <w:bidi w:val="0"/>
        <w:adjustRightInd/>
        <w:spacing w:before="0" w:beforeLines="0" w:after="0" w:afterLines="0" w:line="560" w:lineRule="exact"/>
        <w:ind w:right="0" w:rightChars="0" w:firstLine="640"/>
        <w:textAlignment w:val="auto"/>
        <w:outlineLvl w:val="9"/>
        <w:rPr>
          <w:rFonts w:hint="eastAsia" w:ascii="仿宋_GB2312" w:hAnsi="仿宋_GB2312" w:eastAsia="仿宋_GB2312" w:cs="仿宋_GB2312"/>
          <w:color w:val="FF0000"/>
          <w:sz w:val="32"/>
          <w:szCs w:val="32"/>
          <w:u w:val="none"/>
          <w:lang w:val="en-US" w:eastAsia="zh-CN"/>
        </w:rPr>
      </w:pPr>
      <w:r>
        <w:rPr>
          <w:rFonts w:hint="eastAsia" w:ascii="仿宋_GB2312" w:hAnsi="仿宋_GB2312" w:eastAsia="仿宋_GB2312"/>
          <w:b w:val="0"/>
          <w:bCs/>
          <w:color w:val="auto"/>
          <w:sz w:val="32"/>
          <w:szCs w:val="44"/>
          <w:u w:val="none"/>
          <w:lang w:val="en-US" w:eastAsia="zh-CN"/>
        </w:rPr>
        <w:t>4.类别指申报指南第三项所列的五种类型。</w:t>
      </w:r>
      <w:r>
        <w:rPr>
          <w:rFonts w:hint="eastAsia" w:ascii="仿宋_GB2312" w:hAnsi="仿宋_GB2312" w:eastAsia="仿宋_GB2312" w:cs="仿宋_GB2312"/>
          <w:color w:val="auto"/>
          <w:sz w:val="32"/>
          <w:szCs w:val="32"/>
          <w:lang w:eastAsia="zh-CN"/>
        </w:rPr>
        <w:t>对同一类别的研究报告，所涉案件符合条件发生金额超过市级同类资金支持金额的，可申请入库，反之则不符合入库条件。通过评审的此类项目，支持标准不超过相应类别的最高支持标准，且以符合条件的发生金额与市级支持金额之间的差额为限。</w:t>
      </w:r>
    </w:p>
    <w:p>
      <w:pPr>
        <w:spacing w:line="560" w:lineRule="exact"/>
        <w:ind w:firstLine="640" w:firstLineChars="200"/>
        <w:rPr>
          <w:rFonts w:hint="eastAsia" w:ascii="仿宋_GB2312" w:hAnsi="仿宋_GB2312" w:eastAsia="仿宋_GB2312" w:cs="仿宋_GB2312"/>
          <w:color w:val="auto"/>
          <w:sz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u w:val="none"/>
          <w:lang w:val="en-US" w:eastAsia="zh-CN"/>
        </w:rPr>
        <w:t>.</w:t>
      </w:r>
      <w:r>
        <w:rPr>
          <w:rFonts w:hint="eastAsia" w:ascii="仿宋_GB2312" w:hAnsi="仿宋_GB2312" w:eastAsia="仿宋_GB2312"/>
          <w:color w:val="auto"/>
          <w:sz w:val="32"/>
          <w:u w:val="none"/>
          <w:lang w:val="en-US" w:eastAsia="zh-CN"/>
        </w:rPr>
        <w:t>企业</w:t>
      </w:r>
      <w:r>
        <w:rPr>
          <w:rFonts w:hint="eastAsia" w:ascii="仿宋_GB2312" w:hAnsi="仿宋_GB2312" w:eastAsia="仿宋_GB2312" w:cs="仿宋_GB2312"/>
          <w:color w:val="auto"/>
          <w:sz w:val="32"/>
          <w:szCs w:val="32"/>
          <w:u w:val="none"/>
          <w:lang w:val="en-US" w:eastAsia="zh-CN"/>
        </w:rPr>
        <w:t>直接使用外币支付的，按照中国人民银行公布的2022年12月31日人民币汇率中间价折算；通过银行购汇支付的，直接按购买人民币金额计算</w:t>
      </w:r>
      <w:r>
        <w:rPr>
          <w:rFonts w:hint="eastAsia" w:ascii="仿宋_GB2312" w:hAnsi="仿宋_GB2312" w:eastAsia="仿宋_GB2312" w:cs="仿宋_GB2312"/>
          <w:color w:val="auto"/>
          <w:sz w:val="32"/>
          <w:u w:val="none"/>
          <w:lang w:val="en-US" w:eastAsia="zh-CN"/>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名称发生变更</w:t>
      </w:r>
      <w:r>
        <w:rPr>
          <w:rFonts w:hint="eastAsia" w:ascii="仿宋_GB2312" w:hAnsi="仿宋_GB2312" w:eastAsia="仿宋_GB2312" w:cs="仿宋_GB2312"/>
          <w:sz w:val="32"/>
          <w:szCs w:val="32"/>
          <w:lang w:eastAsia="zh-CN"/>
        </w:rPr>
        <w:t>的，如</w:t>
      </w:r>
      <w:r>
        <w:rPr>
          <w:rFonts w:hint="eastAsia" w:ascii="仿宋_GB2312" w:hAnsi="仿宋_GB2312" w:eastAsia="仿宋_GB2312" w:cs="仿宋_GB2312"/>
          <w:sz w:val="32"/>
          <w:szCs w:val="32"/>
        </w:rPr>
        <w:t>案件应诉和</w:t>
      </w:r>
      <w:r>
        <w:rPr>
          <w:rFonts w:hint="eastAsia" w:ascii="仿宋_GB2312" w:hAnsi="仿宋_GB2312" w:eastAsia="仿宋_GB2312" w:cs="仿宋_GB2312"/>
          <w:sz w:val="32"/>
          <w:szCs w:val="32"/>
          <w:lang w:eastAsia="zh-CN"/>
        </w:rPr>
        <w:t>申报企业</w:t>
      </w: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lang w:eastAsia="zh-CN"/>
        </w:rPr>
        <w:t>不同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提供变更</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名称的工商登记</w:t>
      </w:r>
      <w:r>
        <w:rPr>
          <w:rFonts w:hint="eastAsia" w:ascii="仿宋_GB2312" w:hAnsi="仿宋_GB2312" w:eastAsia="仿宋_GB2312" w:cs="仿宋_GB2312"/>
          <w:sz w:val="32"/>
          <w:szCs w:val="32"/>
          <w:lang w:eastAsia="zh-CN"/>
        </w:rPr>
        <w:t>等佐证</w:t>
      </w:r>
      <w:r>
        <w:rPr>
          <w:rFonts w:hint="eastAsia" w:ascii="仿宋_GB2312" w:hAnsi="仿宋_GB2312" w:eastAsia="仿宋_GB2312" w:cs="仿宋_GB2312"/>
          <w:sz w:val="32"/>
          <w:szCs w:val="32"/>
        </w:rPr>
        <w:t>材料。</w:t>
      </w:r>
    </w:p>
    <w:p>
      <w:pPr>
        <w:spacing w:line="560" w:lineRule="exact"/>
        <w:ind w:firstLine="640" w:firstLineChars="200"/>
        <w:rPr>
          <w:rFonts w:hint="eastAsia" w:ascii="仿宋_GB2312" w:hAnsi="仿宋_GB2312" w:eastAsia="仿宋_GB2312"/>
          <w:color w:val="auto"/>
          <w:sz w:val="32"/>
          <w:highlight w:val="none"/>
          <w:u w:val="none"/>
          <w:lang w:val="en-US" w:eastAsia="zh-CN"/>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olor w:val="auto"/>
          <w:sz w:val="32"/>
          <w:highlight w:val="none"/>
          <w:u w:val="none"/>
          <w:lang w:val="en-US" w:eastAsia="zh-CN"/>
        </w:rPr>
        <w:t>.到国外法院起诉的相关案件，不属于本次入库项目支持范围。</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研究报告</w:t>
      </w:r>
      <w:r>
        <w:rPr>
          <w:rFonts w:hint="eastAsia" w:ascii="仿宋_GB2312" w:hAnsi="仿宋_GB2312" w:eastAsia="仿宋_GB2312" w:cs="仿宋_GB2312"/>
          <w:sz w:val="32"/>
          <w:szCs w:val="32"/>
          <w:lang w:eastAsia="zh-CN"/>
        </w:rPr>
        <w:t>字数少于</w:t>
      </w:r>
      <w:r>
        <w:rPr>
          <w:rFonts w:hint="eastAsia" w:ascii="仿宋_GB2312" w:hAnsi="仿宋_GB2312" w:eastAsia="仿宋_GB2312" w:cs="仿宋_GB2312"/>
          <w:sz w:val="32"/>
          <w:szCs w:val="32"/>
          <w:lang w:val="en-US" w:eastAsia="zh-CN"/>
        </w:rPr>
        <w:t>3000字，</w:t>
      </w:r>
      <w:r>
        <w:rPr>
          <w:rFonts w:hint="eastAsia" w:ascii="仿宋_GB2312" w:hAnsi="仿宋_GB2312" w:eastAsia="仿宋_GB2312" w:cs="仿宋_GB2312"/>
          <w:sz w:val="32"/>
          <w:szCs w:val="32"/>
        </w:rPr>
        <w:t>涉嫌抄袭、剽窃或存在其他弄虚作假的行为</w:t>
      </w:r>
      <w:r>
        <w:rPr>
          <w:rFonts w:hint="eastAsia" w:ascii="仿宋_GB2312" w:hAnsi="仿宋_GB2312" w:eastAsia="仿宋_GB2312" w:cs="仿宋_GB2312"/>
          <w:sz w:val="32"/>
          <w:szCs w:val="32"/>
          <w:lang w:eastAsia="zh-CN"/>
        </w:rPr>
        <w:t>，不予支持。</w:t>
      </w:r>
    </w:p>
    <w:p>
      <w:pPr>
        <w:spacing w:line="560" w:lineRule="exact"/>
        <w:ind w:firstLine="640" w:firstLineChars="200"/>
        <w:rPr>
          <w:rFonts w:hint="eastAsia" w:ascii="仿宋_GB2312" w:hAnsi="仿宋_GB2312" w:eastAsia="仿宋_GB2312" w:cs="仿宋_GB2312"/>
          <w:sz w:val="32"/>
          <w:szCs w:val="32"/>
          <w:lang w:eastAsia="zh-CN"/>
        </w:rPr>
      </w:pPr>
    </w:p>
    <w:p>
      <w:pPr>
        <w:spacing w:line="560" w:lineRule="exact"/>
        <w:ind w:firstLine="640" w:firstLineChars="200"/>
        <w:rPr>
          <w:rFonts w:hint="eastAsia" w:ascii="仿宋_GB2312" w:hAnsi="仿宋_GB2312" w:eastAsia="仿宋_GB2312" w:cs="仿宋_GB2312"/>
          <w:sz w:val="32"/>
          <w:szCs w:val="32"/>
          <w:lang w:eastAsia="zh-CN"/>
        </w:rPr>
      </w:pPr>
    </w:p>
    <w:p>
      <w:pPr>
        <w:ind w:firstLine="640" w:firstLineChars="200"/>
        <w:rPr>
          <w:rFonts w:hint="eastAsia" w:ascii="仿宋_GB2312" w:hAnsi="仿宋_GB2312" w:eastAsia="仿宋_GB2312" w:cs="仿宋_GB2312"/>
          <w:color w:val="FF0000"/>
          <w:sz w:val="32"/>
          <w:szCs w:val="32"/>
          <w:lang w:eastAsia="zh-CN"/>
        </w:rPr>
      </w:pPr>
    </w:p>
    <w:p>
      <w:pPr>
        <w:ind w:firstLine="640" w:firstLineChars="200"/>
        <w:rPr>
          <w:rFonts w:hint="eastAsia" w:ascii="仿宋_GB2312" w:hAnsi="仿宋_GB2312" w:eastAsia="仿宋_GB2312" w:cs="仿宋_GB2312"/>
          <w:color w:val="FF0000"/>
          <w:sz w:val="32"/>
          <w:szCs w:val="32"/>
          <w:lang w:eastAsia="zh-CN"/>
        </w:rPr>
      </w:pPr>
    </w:p>
    <w:p>
      <w:pPr>
        <w:ind w:firstLine="640" w:firstLineChars="200"/>
        <w:rPr>
          <w:rFonts w:hint="eastAsia" w:ascii="仿宋_GB2312" w:hAnsi="仿宋_GB2312" w:eastAsia="仿宋_GB2312" w:cs="仿宋_GB2312"/>
          <w:color w:val="FF0000"/>
          <w:sz w:val="32"/>
          <w:szCs w:val="32"/>
          <w:lang w:eastAsia="zh-CN"/>
        </w:rPr>
      </w:pPr>
    </w:p>
    <w:p>
      <w:pPr>
        <w:ind w:firstLine="640" w:firstLineChars="200"/>
        <w:rPr>
          <w:rFonts w:hint="eastAsia" w:ascii="仿宋_GB2312" w:hAnsi="仿宋_GB2312" w:eastAsia="仿宋_GB2312" w:cs="仿宋_GB2312"/>
          <w:color w:val="FF0000"/>
          <w:sz w:val="32"/>
          <w:szCs w:val="32"/>
          <w:lang w:eastAsia="zh-CN"/>
        </w:rPr>
      </w:pPr>
    </w:p>
    <w:p>
      <w:pPr>
        <w:ind w:firstLine="640" w:firstLineChars="200"/>
        <w:rPr>
          <w:rFonts w:hint="eastAsia" w:ascii="仿宋_GB2312" w:hAnsi="仿宋_GB2312" w:eastAsia="仿宋_GB2312" w:cs="仿宋_GB2312"/>
          <w:color w:val="FF0000"/>
          <w:sz w:val="32"/>
          <w:szCs w:val="32"/>
          <w:lang w:eastAsia="zh-CN"/>
        </w:rPr>
        <w:sectPr>
          <w:headerReference r:id="rId4" w:type="default"/>
          <w:footerReference r:id="rId5" w:type="default"/>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p>
    <w:p>
      <w:pPr>
        <w:keepNext w:val="0"/>
        <w:keepLines w:val="0"/>
        <w:pageBreakBefore w:val="0"/>
        <w:widowControl w:val="0"/>
        <w:kinsoku/>
        <w:wordWrap/>
        <w:overflowPunct/>
        <w:topLinePunct w:val="0"/>
        <w:autoSpaceDE/>
        <w:autoSpaceDN/>
        <w:bidi w:val="0"/>
        <w:adjustRightInd/>
        <w:snapToGrid w:val="0"/>
        <w:spacing w:before="0" w:beforeLines="0" w:after="0" w:afterLines="0" w:line="560" w:lineRule="exact"/>
        <w:ind w:left="0" w:leftChars="0" w:right="0" w:rightChars="0"/>
        <w:jc w:val="center"/>
        <w:textAlignment w:val="auto"/>
        <w:outlineLvl w:val="9"/>
        <w:rPr>
          <w:rFonts w:hint="eastAsia" w:ascii="Times New Roman" w:hAnsi="Times New Roman" w:eastAsia="方正大标宋简体" w:cs="方正大标宋简体"/>
          <w:b w:val="0"/>
          <w:bCs/>
          <w:color w:val="auto"/>
          <w:sz w:val="44"/>
          <w:szCs w:val="44"/>
          <w:lang w:val="en-US" w:eastAsia="zh-CN"/>
        </w:rPr>
      </w:pPr>
      <w:r>
        <w:rPr>
          <w:rFonts w:hint="eastAsia" w:ascii="Times New Roman" w:hAnsi="Times New Roman" w:eastAsia="方正大标宋简体" w:cs="方正大标宋简体"/>
          <w:b w:val="0"/>
          <w:bCs/>
          <w:color w:val="auto"/>
          <w:sz w:val="44"/>
          <w:szCs w:val="44"/>
          <w:lang w:val="en-US" w:eastAsia="zh-CN"/>
        </w:rPr>
        <w:t>承  诺  书</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________________________</w:t>
      </w:r>
      <w:r>
        <w:rPr>
          <w:rFonts w:hint="default"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w:t>
      </w:r>
      <w:r>
        <w:rPr>
          <w:rFonts w:hint="default" w:ascii="Times New Roman" w:hAnsi="Times New Roman" w:eastAsia="仿宋_GB2312" w:cs="Times New Roman"/>
          <w:b w:val="0"/>
          <w:bCs w:val="0"/>
          <w:color w:val="auto"/>
          <w:kern w:val="0"/>
          <w:sz w:val="32"/>
          <w:lang w:val="en-US" w:eastAsia="zh-CN"/>
        </w:rPr>
        <w:t>全称</w:t>
      </w:r>
      <w:r>
        <w:rPr>
          <w:rFonts w:hint="eastAsia" w:eastAsia="仿宋_GB2312" w:cs="Times New Roman"/>
          <w:b w:val="0"/>
          <w:bCs w:val="0"/>
          <w:color w:val="auto"/>
          <w:kern w:val="0"/>
          <w:sz w:val="32"/>
          <w:lang w:val="en-US" w:eastAsia="zh-CN"/>
        </w:rPr>
        <w:t>）</w:t>
      </w:r>
      <w:r>
        <w:rPr>
          <w:rFonts w:hint="default" w:ascii="Times New Roman" w:hAnsi="Times New Roman" w:eastAsia="仿宋_GB2312" w:cs="Times New Roman"/>
          <w:b w:val="0"/>
          <w:bCs w:val="0"/>
          <w:color w:val="auto"/>
          <w:kern w:val="0"/>
          <w:sz w:val="32"/>
          <w:lang w:val="en-US" w:eastAsia="zh-CN"/>
        </w:rPr>
        <w:t>谨</w:t>
      </w:r>
      <w:r>
        <w:rPr>
          <w:rFonts w:hint="default" w:ascii="Times New Roman" w:hAnsi="Times New Roman" w:eastAsia="仿宋_GB2312" w:cs="Times New Roman"/>
          <w:b w:val="0"/>
          <w:bCs w:val="0"/>
          <w:color w:val="auto"/>
          <w:kern w:val="0"/>
          <w:sz w:val="32"/>
          <w:highlight w:val="none"/>
          <w:lang w:val="en-US" w:eastAsia="zh-CN"/>
        </w:rPr>
        <w:t>就申请</w:t>
      </w:r>
      <w:r>
        <w:rPr>
          <w:rFonts w:hint="eastAsia" w:ascii="仿宋_GB2312" w:eastAsia="仿宋_GB2312"/>
          <w:color w:val="auto"/>
          <w:sz w:val="32"/>
          <w:highlight w:val="none"/>
        </w:rPr>
        <w:t>20</w:t>
      </w:r>
      <w:r>
        <w:rPr>
          <w:rFonts w:hint="eastAsia" w:ascii="仿宋_GB2312" w:eastAsia="仿宋_GB2312"/>
          <w:color w:val="auto"/>
          <w:sz w:val="32"/>
          <w:highlight w:val="none"/>
          <w:lang w:val="en-US" w:eastAsia="zh-CN"/>
        </w:rPr>
        <w:t>23</w:t>
      </w:r>
      <w:r>
        <w:rPr>
          <w:rFonts w:hint="eastAsia" w:ascii="仿宋_GB2312" w:eastAsia="仿宋_GB2312"/>
          <w:color w:val="auto"/>
          <w:sz w:val="32"/>
          <w:highlight w:val="none"/>
        </w:rPr>
        <w:t>年</w:t>
      </w:r>
      <w:r>
        <w:rPr>
          <w:rFonts w:hint="eastAsia" w:ascii="仿宋_GB2312" w:eastAsia="仿宋_GB2312"/>
          <w:color w:val="auto"/>
          <w:sz w:val="32"/>
          <w:highlight w:val="none"/>
          <w:lang w:eastAsia="zh-CN"/>
        </w:rPr>
        <w:t>中央外经贸发展专项资金（应对贸易摩擦事项）入库项目</w:t>
      </w:r>
      <w:r>
        <w:rPr>
          <w:rFonts w:hint="eastAsia" w:eastAsia="仿宋_GB2312" w:cs="Times New Roman"/>
          <w:b w:val="0"/>
          <w:bCs w:val="0"/>
          <w:color w:val="auto"/>
          <w:kern w:val="0"/>
          <w:sz w:val="32"/>
          <w:highlight w:val="none"/>
          <w:lang w:val="en-US" w:eastAsia="zh-CN"/>
        </w:rPr>
        <w:t>郑</w:t>
      </w:r>
      <w:r>
        <w:rPr>
          <w:rFonts w:hint="eastAsia" w:eastAsia="仿宋_GB2312" w:cs="Times New Roman"/>
          <w:b w:val="0"/>
          <w:bCs w:val="0"/>
          <w:color w:val="auto"/>
          <w:kern w:val="0"/>
          <w:sz w:val="32"/>
          <w:lang w:val="en-US" w:eastAsia="zh-CN"/>
        </w:rPr>
        <w:t>重声明如下</w:t>
      </w:r>
      <w:r>
        <w:rPr>
          <w:rFonts w:hint="default" w:ascii="Times New Roman" w:hAnsi="Times New Roman" w:eastAsia="仿宋_GB2312" w:cs="Times New Roman"/>
          <w:b w:val="0"/>
          <w:bCs w:val="0"/>
          <w:color w:val="auto"/>
          <w:kern w:val="0"/>
          <w:sz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仿宋_GB2312" w:hAnsi="仿宋_GB2312" w:eastAsia="仿宋_GB2312" w:cs="仿宋_GB2312"/>
          <w:b w:val="0"/>
          <w:bCs w:val="0"/>
          <w:color w:val="auto"/>
          <w:kern w:val="0"/>
          <w:sz w:val="32"/>
          <w:szCs w:val="32"/>
          <w:u w:val="none"/>
          <w:lang w:val="en-US" w:eastAsia="zh-CN" w:bidi="ar-SA"/>
        </w:rPr>
        <w:t>保证本司是合法经营企业，</w:t>
      </w:r>
      <w:r>
        <w:rPr>
          <w:rFonts w:hint="eastAsia" w:eastAsia="仿宋_GB2312" w:cs="Times New Roman"/>
          <w:b w:val="0"/>
          <w:bCs w:val="0"/>
          <w:color w:val="auto"/>
          <w:kern w:val="0"/>
          <w:sz w:val="32"/>
          <w:lang w:val="en-US" w:eastAsia="zh-CN"/>
        </w:rPr>
        <w:t>具有健全的财务核算与管理制度，</w:t>
      </w:r>
      <w:r>
        <w:rPr>
          <w:rFonts w:hint="eastAsia" w:ascii="仿宋_GB2312" w:hAnsi="仿宋_GB2312" w:eastAsia="仿宋_GB2312" w:cs="仿宋_GB2312"/>
          <w:b w:val="0"/>
          <w:i w:val="0"/>
          <w:snapToGrid/>
          <w:color w:val="000000"/>
          <w:sz w:val="32"/>
          <w:szCs w:val="32"/>
          <w:shd w:val="clear" w:color="auto" w:fill="FFFFFF"/>
          <w:lang w:eastAsia="zh-CN"/>
        </w:rPr>
        <w:t>遵守财经制度和</w:t>
      </w:r>
      <w:r>
        <w:rPr>
          <w:rFonts w:hint="eastAsia" w:ascii="仿宋_GB2312" w:hAnsi="仿宋_GB2312" w:eastAsia="仿宋_GB2312" w:cs="仿宋_GB2312"/>
          <w:b w:val="0"/>
          <w:bCs w:val="0"/>
          <w:color w:val="auto"/>
          <w:kern w:val="0"/>
          <w:sz w:val="32"/>
          <w:szCs w:val="32"/>
          <w:lang w:val="en-US" w:eastAsia="zh-CN"/>
        </w:rPr>
        <w:t>专项资金管理制度，</w:t>
      </w:r>
      <w:r>
        <w:rPr>
          <w:rFonts w:hint="default" w:eastAsia="仿宋_GB2312"/>
          <w:color w:val="auto"/>
          <w:kern w:val="0"/>
          <w:sz w:val="32"/>
        </w:rPr>
        <w:t>近</w:t>
      </w:r>
      <w:r>
        <w:rPr>
          <w:rFonts w:hint="eastAsia" w:eastAsia="仿宋_GB2312"/>
          <w:color w:val="auto"/>
          <w:kern w:val="0"/>
          <w:sz w:val="32"/>
          <w:lang w:eastAsia="zh-CN"/>
        </w:rPr>
        <w:t>三</w:t>
      </w:r>
      <w:r>
        <w:rPr>
          <w:rFonts w:hint="default" w:eastAsia="仿宋_GB2312"/>
          <w:color w:val="auto"/>
          <w:kern w:val="0"/>
          <w:sz w:val="32"/>
        </w:rPr>
        <w:t>年无发生严重违法违规行为，无拖欠应缴付财政款项</w:t>
      </w:r>
      <w:r>
        <w:rPr>
          <w:rFonts w:hint="eastAsia" w:eastAsia="仿宋_GB2312"/>
          <w:color w:val="auto"/>
          <w:kern w:val="0"/>
          <w:sz w:val="32"/>
          <w:lang w:eastAsia="zh-CN"/>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eastAsia="仿宋_GB2312" w:cs="Times New Roman"/>
          <w:b w:val="0"/>
          <w:bCs w:val="0"/>
          <w:color w:val="auto"/>
          <w:kern w:val="0"/>
          <w:sz w:val="32"/>
          <w:lang w:val="en-US" w:eastAsia="zh-CN"/>
        </w:rPr>
        <w:t>保证本司所提交的研究报告所涉内容未曾</w:t>
      </w:r>
      <w:r>
        <w:rPr>
          <w:rFonts w:hint="eastAsia" w:ascii="仿宋_GB2312" w:hAnsi="仿宋_GB2312" w:eastAsia="仿宋_GB2312" w:cs="仿宋_GB2312"/>
          <w:b w:val="0"/>
          <w:bCs w:val="0"/>
          <w:color w:val="auto"/>
          <w:kern w:val="0"/>
          <w:sz w:val="32"/>
          <w:szCs w:val="32"/>
          <w:u w:val="none"/>
          <w:lang w:val="en-US" w:eastAsia="zh-CN" w:bidi="ar-SA"/>
        </w:rPr>
        <w:t>获得本专项资金资助。</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default" w:eastAsia="仿宋_GB2312"/>
          <w:color w:val="auto"/>
          <w:kern w:val="0"/>
          <w:sz w:val="32"/>
        </w:rPr>
        <w:t>保证</w:t>
      </w:r>
      <w:r>
        <w:rPr>
          <w:rFonts w:hint="eastAsia" w:eastAsia="仿宋_GB2312"/>
          <w:color w:val="auto"/>
          <w:kern w:val="0"/>
          <w:sz w:val="32"/>
          <w:lang w:eastAsia="zh-CN"/>
        </w:rPr>
        <w:t>本司</w:t>
      </w:r>
      <w:r>
        <w:rPr>
          <w:rFonts w:hint="default" w:eastAsia="仿宋_GB2312"/>
          <w:color w:val="auto"/>
          <w:kern w:val="0"/>
          <w:sz w:val="32"/>
        </w:rPr>
        <w:t>所提交的</w:t>
      </w:r>
      <w:r>
        <w:rPr>
          <w:rFonts w:hint="eastAsia" w:eastAsia="仿宋_GB2312"/>
          <w:color w:val="auto"/>
          <w:kern w:val="0"/>
          <w:sz w:val="32"/>
          <w:lang w:eastAsia="zh-CN"/>
        </w:rPr>
        <w:t>申报材料完整、</w:t>
      </w:r>
      <w:r>
        <w:rPr>
          <w:rFonts w:hint="default" w:eastAsia="仿宋_GB2312"/>
          <w:color w:val="auto"/>
          <w:kern w:val="0"/>
          <w:sz w:val="32"/>
        </w:rPr>
        <w:t>真实、准确、有效；</w:t>
      </w:r>
      <w:r>
        <w:rPr>
          <w:rFonts w:hint="eastAsia" w:eastAsia="仿宋_GB2312"/>
          <w:color w:val="auto"/>
          <w:kern w:val="0"/>
          <w:sz w:val="32"/>
          <w:lang w:eastAsia="zh-CN"/>
        </w:rPr>
        <w:t>所提供的复印件与原件一致；</w:t>
      </w:r>
      <w:r>
        <w:rPr>
          <w:rFonts w:hint="default" w:eastAsia="仿宋_GB2312"/>
          <w:color w:val="auto"/>
          <w:kern w:val="0"/>
          <w:sz w:val="32"/>
        </w:rPr>
        <w:t>所提供的企业名称外文翻译真实规范；</w:t>
      </w:r>
      <w:r>
        <w:rPr>
          <w:rFonts w:hint="eastAsia" w:eastAsia="仿宋_GB2312"/>
          <w:color w:val="auto"/>
          <w:kern w:val="0"/>
          <w:sz w:val="32"/>
          <w:lang w:eastAsia="zh-CN"/>
        </w:rPr>
        <w:t>所</w:t>
      </w:r>
      <w:r>
        <w:rPr>
          <w:rFonts w:hint="default" w:eastAsia="仿宋_GB2312"/>
          <w:color w:val="auto"/>
          <w:kern w:val="0"/>
          <w:sz w:val="32"/>
        </w:rPr>
        <w:t>提供的中文翻译与外文原件内容一致。</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right="0" w:rightChars="0" w:firstLine="64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i w:val="0"/>
          <w:snapToGrid/>
          <w:color w:val="auto"/>
          <w:sz w:val="32"/>
          <w:szCs w:val="32"/>
          <w:shd w:val="clear" w:color="auto" w:fill="FFFFFF"/>
          <w:lang w:eastAsia="zh-CN"/>
        </w:rPr>
        <w:t>知晓广东省商务厅将视预算安排和申报情况，对资助金额、支持比例和拨付进度等进行统一调整，本司无条件接受调整结果。</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同意</w:t>
      </w:r>
      <w:r>
        <w:rPr>
          <w:rFonts w:hint="eastAsia" w:eastAsia="仿宋_GB2312" w:cs="Times New Roman"/>
          <w:b w:val="0"/>
          <w:bCs w:val="0"/>
          <w:color w:val="auto"/>
          <w:kern w:val="0"/>
          <w:sz w:val="32"/>
          <w:lang w:val="en-US" w:eastAsia="zh-CN"/>
        </w:rPr>
        <w:t>接受有关部门为审核本申请而进行的必要核查，</w:t>
      </w:r>
      <w:r>
        <w:rPr>
          <w:rFonts w:hint="default" w:ascii="Times New Roman" w:hAnsi="Times New Roman" w:eastAsia="仿宋_GB2312" w:cs="Times New Roman"/>
          <w:b w:val="0"/>
          <w:bCs w:val="0"/>
          <w:color w:val="auto"/>
          <w:kern w:val="0"/>
          <w:sz w:val="32"/>
          <w:lang w:val="en-US" w:eastAsia="zh-CN"/>
        </w:rPr>
        <w:t>配合</w:t>
      </w:r>
      <w:r>
        <w:rPr>
          <w:rFonts w:hint="eastAsia" w:ascii="Times New Roman" w:hAnsi="Times New Roman" w:eastAsia="仿宋_GB2312" w:cs="Times New Roman"/>
          <w:b w:val="0"/>
          <w:bCs w:val="0"/>
          <w:color w:val="auto"/>
          <w:kern w:val="0"/>
          <w:sz w:val="32"/>
          <w:lang w:val="en-US" w:eastAsia="zh-CN"/>
        </w:rPr>
        <w:t>接受专项资金使用的绩效评价和检查</w:t>
      </w:r>
      <w:r>
        <w:rPr>
          <w:rFonts w:hint="default" w:ascii="Times New Roman" w:hAnsi="Times New Roman" w:eastAsia="仿宋_GB2312" w:cs="Times New Roman"/>
          <w:b w:val="0"/>
          <w:bCs w:val="0"/>
          <w:color w:val="auto"/>
          <w:kern w:val="0"/>
          <w:sz w:val="32"/>
          <w:lang w:val="en-US" w:eastAsia="zh-CN"/>
        </w:rPr>
        <w:fldChar w:fldCharType="begin"/>
      </w:r>
      <w:r>
        <w:rPr>
          <w:rFonts w:hint="default" w:ascii="Times New Roman" w:hAnsi="Times New Roman" w:eastAsia="仿宋_GB2312" w:cs="Times New Roman"/>
          <w:b w:val="0"/>
          <w:bCs w:val="0"/>
          <w:color w:val="auto"/>
          <w:kern w:val="0"/>
          <w:sz w:val="32"/>
          <w:lang w:val="en-US" w:eastAsia="zh-CN"/>
        </w:rPr>
        <w:instrText xml:space="preserve"> HYPERLINK "http://www.zaidian.com/fanwen/mishuxingzheng/gongzuojihua/" \t "http://www.zaidian.com/show/_blank" </w:instrText>
      </w:r>
      <w:r>
        <w:rPr>
          <w:rFonts w:hint="default" w:ascii="Times New Roman" w:hAnsi="Times New Roman" w:eastAsia="仿宋_GB2312" w:cs="Times New Roman"/>
          <w:b w:val="0"/>
          <w:bCs w:val="0"/>
          <w:color w:val="auto"/>
          <w:kern w:val="0"/>
          <w:sz w:val="32"/>
          <w:lang w:val="en-US" w:eastAsia="zh-CN"/>
        </w:rPr>
        <w:fldChar w:fldCharType="separate"/>
      </w:r>
      <w:r>
        <w:rPr>
          <w:rFonts w:hint="default" w:ascii="Times New Roman" w:hAnsi="Times New Roman" w:eastAsia="仿宋_GB2312" w:cs="Times New Roman"/>
          <w:b w:val="0"/>
          <w:bCs w:val="0"/>
          <w:color w:val="auto"/>
          <w:kern w:val="0"/>
          <w:sz w:val="32"/>
          <w:lang w:val="en-US" w:eastAsia="zh-CN"/>
        </w:rPr>
        <w:t>工作</w:t>
      </w:r>
      <w:r>
        <w:rPr>
          <w:rFonts w:hint="default" w:ascii="Times New Roman" w:hAnsi="Times New Roman" w:eastAsia="仿宋_GB2312" w:cs="Times New Roman"/>
          <w:b w:val="0"/>
          <w:bCs w:val="0"/>
          <w:color w:val="auto"/>
          <w:kern w:val="0"/>
          <w:sz w:val="32"/>
          <w:lang w:val="en-US" w:eastAsia="zh-CN"/>
        </w:rPr>
        <w:fldChar w:fldCharType="end"/>
      </w:r>
      <w:r>
        <w:rPr>
          <w:rFonts w:hint="eastAsia" w:ascii="Times New Roman" w:hAnsi="Times New Roman" w:eastAsia="仿宋_GB2312" w:cs="Times New Roman"/>
          <w:b w:val="0"/>
          <w:bCs w:val="0"/>
          <w:color w:val="auto"/>
          <w:kern w:val="0"/>
          <w:sz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同意</w:t>
      </w:r>
      <w:r>
        <w:rPr>
          <w:rFonts w:hint="default" w:ascii="Times New Roman" w:hAnsi="Times New Roman" w:eastAsia="仿宋_GB2312" w:cs="Times New Roman"/>
          <w:b w:val="0"/>
          <w:bCs w:val="0"/>
          <w:color w:val="auto"/>
          <w:kern w:val="0"/>
          <w:sz w:val="32"/>
          <w:lang w:val="en-US" w:eastAsia="zh-CN"/>
        </w:rPr>
        <w:t>按</w:t>
      </w:r>
      <w:r>
        <w:rPr>
          <w:rFonts w:hint="eastAsia" w:ascii="Times New Roman" w:hAnsi="Times New Roman" w:eastAsia="仿宋_GB2312" w:cs="Times New Roman"/>
          <w:b w:val="0"/>
          <w:bCs w:val="0"/>
          <w:color w:val="auto"/>
          <w:kern w:val="0"/>
          <w:sz w:val="32"/>
          <w:lang w:val="en-US" w:eastAsia="zh-CN"/>
        </w:rPr>
        <w:t>商务主管部门的</w:t>
      </w:r>
      <w:r>
        <w:rPr>
          <w:rFonts w:hint="default" w:ascii="Times New Roman" w:hAnsi="Times New Roman" w:eastAsia="仿宋_GB2312" w:cs="Times New Roman"/>
          <w:b w:val="0"/>
          <w:bCs w:val="0"/>
          <w:color w:val="auto"/>
          <w:kern w:val="0"/>
          <w:sz w:val="32"/>
          <w:lang w:val="en-US" w:eastAsia="zh-CN"/>
        </w:rPr>
        <w:t>要求提供</w:t>
      </w:r>
      <w:r>
        <w:rPr>
          <w:rFonts w:hint="eastAsia" w:ascii="Times New Roman" w:hAnsi="Times New Roman" w:eastAsia="仿宋_GB2312" w:cs="Times New Roman"/>
          <w:b w:val="0"/>
          <w:bCs w:val="0"/>
          <w:color w:val="auto"/>
          <w:kern w:val="0"/>
          <w:sz w:val="32"/>
          <w:lang w:val="en-US" w:eastAsia="zh-CN"/>
        </w:rPr>
        <w:t>本</w:t>
      </w:r>
      <w:r>
        <w:rPr>
          <w:rFonts w:hint="default" w:eastAsia="仿宋_GB2312" w:cs="Times New Roman"/>
          <w:b w:val="0"/>
          <w:bCs w:val="0"/>
          <w:color w:val="auto"/>
          <w:kern w:val="0"/>
          <w:sz w:val="32"/>
          <w:u w:val="none"/>
          <w:lang w:val="en-US" w:eastAsia="zh-CN"/>
        </w:rPr>
        <w:t>司</w:t>
      </w:r>
      <w:r>
        <w:rPr>
          <w:rFonts w:hint="eastAsia" w:ascii="Times New Roman" w:hAnsi="Times New Roman" w:eastAsia="仿宋_GB2312" w:cs="Times New Roman"/>
          <w:b w:val="0"/>
          <w:bCs w:val="0"/>
          <w:color w:val="auto"/>
          <w:kern w:val="0"/>
          <w:sz w:val="32"/>
          <w:lang w:val="en-US" w:eastAsia="zh-CN"/>
        </w:rPr>
        <w:t>（行业）的</w:t>
      </w:r>
      <w:r>
        <w:rPr>
          <w:rFonts w:hint="default" w:ascii="Times New Roman" w:hAnsi="Times New Roman" w:eastAsia="仿宋_GB2312" w:cs="Times New Roman"/>
          <w:b w:val="0"/>
          <w:bCs w:val="0"/>
          <w:color w:val="auto"/>
          <w:kern w:val="0"/>
          <w:sz w:val="32"/>
          <w:lang w:val="en-US" w:eastAsia="zh-CN"/>
        </w:rPr>
        <w:t>相关信息和统计数据</w:t>
      </w:r>
      <w:r>
        <w:rPr>
          <w:rStyle w:val="7"/>
          <w:rFonts w:hint="default" w:ascii="Times New Roman" w:hAnsi="Times New Roman" w:eastAsia="仿宋_GB2312" w:cs="Times New Roman"/>
          <w:b w:val="0"/>
          <w:bCs w:val="0"/>
          <w:color w:val="auto"/>
          <w:kern w:val="0"/>
          <w:sz w:val="32"/>
          <w:lang w:val="en-US" w:eastAsia="zh-CN"/>
        </w:rPr>
        <w:footnoteReference w:id="0" w:customMarkFollows="1"/>
        <w:t>*</w:t>
      </w:r>
      <w:r>
        <w:rPr>
          <w:rFonts w:hint="default" w:ascii="Times New Roman" w:hAnsi="Times New Roman" w:eastAsia="仿宋_GB2312" w:cs="Times New Roman"/>
          <w:b w:val="0"/>
          <w:bCs w:val="0"/>
          <w:color w:val="auto"/>
          <w:kern w:val="0"/>
          <w:sz w:val="32"/>
          <w:lang w:val="en-US" w:eastAsia="zh-CN"/>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仿宋_GB2312" w:hAnsi="仿宋_GB2312" w:eastAsia="仿宋_GB2312" w:cs="仿宋_GB2312"/>
          <w:b w:val="0"/>
          <w:bCs w:val="0"/>
          <w:color w:val="auto"/>
          <w:kern w:val="0"/>
          <w:sz w:val="32"/>
          <w:szCs w:val="32"/>
          <w:lang w:val="en-US" w:eastAsia="zh-CN"/>
        </w:rPr>
        <w:t>如违背上述承诺，承担</w:t>
      </w:r>
      <w:r>
        <w:rPr>
          <w:rFonts w:hint="default" w:ascii="Times New Roman" w:hAnsi="Times New Roman" w:eastAsia="仿宋_GB2312" w:cs="Times New Roman"/>
          <w:b w:val="0"/>
          <w:bCs w:val="0"/>
          <w:color w:val="auto"/>
          <w:kern w:val="0"/>
          <w:sz w:val="32"/>
          <w:lang w:val="en-US" w:eastAsia="zh-CN"/>
        </w:rPr>
        <w:t>由此产生的法律责任和后果</w:t>
      </w:r>
      <w:r>
        <w:rPr>
          <w:rFonts w:hint="eastAsia" w:ascii="Times New Roman" w:hAnsi="Times New Roman" w:eastAsia="仿宋_GB2312" w:cs="Times New Roman"/>
          <w:b w:val="0"/>
          <w:bCs w:val="0"/>
          <w:color w:val="auto"/>
          <w:kern w:val="0"/>
          <w:sz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default" w:ascii="Times New Roman" w:hAnsi="Times New Roman" w:eastAsia="仿宋_GB2312" w:cs="Times New Roman"/>
          <w:b w:val="0"/>
          <w:bCs w:val="0"/>
          <w:color w:val="auto"/>
          <w:kern w:val="0"/>
          <w:sz w:val="32"/>
          <w:lang w:val="en-US" w:eastAsia="zh-CN"/>
        </w:rPr>
        <w:t>法</w:t>
      </w:r>
      <w:r>
        <w:rPr>
          <w:rFonts w:hint="eastAsia" w:ascii="Times New Roman" w:hAnsi="Times New Roman" w:eastAsia="仿宋_GB2312" w:cs="Times New Roman"/>
          <w:b w:val="0"/>
          <w:bCs w:val="0"/>
          <w:color w:val="auto"/>
          <w:kern w:val="0"/>
          <w:sz w:val="32"/>
          <w:lang w:val="en-US" w:eastAsia="zh-CN"/>
        </w:rPr>
        <w:t>定</w:t>
      </w:r>
      <w:r>
        <w:rPr>
          <w:rFonts w:hint="default" w:ascii="Times New Roman" w:hAnsi="Times New Roman" w:eastAsia="仿宋_GB2312" w:cs="Times New Roman"/>
          <w:b w:val="0"/>
          <w:bCs w:val="0"/>
          <w:color w:val="auto"/>
          <w:kern w:val="0"/>
          <w:sz w:val="32"/>
          <w:lang w:val="en-US" w:eastAsia="zh-CN"/>
        </w:rPr>
        <w:t>代表</w:t>
      </w:r>
      <w:r>
        <w:rPr>
          <w:rFonts w:hint="eastAsia" w:ascii="Times New Roman" w:hAnsi="Times New Roman" w:eastAsia="仿宋_GB2312" w:cs="Times New Roman"/>
          <w:b w:val="0"/>
          <w:bCs w:val="0"/>
          <w:color w:val="auto"/>
          <w:kern w:val="0"/>
          <w:sz w:val="32"/>
          <w:lang w:val="en-US" w:eastAsia="zh-CN"/>
        </w:rPr>
        <w:t>人</w:t>
      </w:r>
      <w:r>
        <w:rPr>
          <w:rFonts w:hint="default" w:ascii="Times New Roman" w:hAnsi="Times New Roman" w:eastAsia="仿宋_GB2312" w:cs="Times New Roman"/>
          <w:b w:val="0"/>
          <w:bCs w:val="0"/>
          <w:color w:val="auto"/>
          <w:kern w:val="0"/>
          <w:sz w:val="32"/>
          <w:lang w:val="en-US" w:eastAsia="zh-CN"/>
        </w:rPr>
        <w:t>（签字）：</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default" w:ascii="Times New Roman" w:hAnsi="Times New Roman" w:eastAsia="仿宋_GB2312" w:cs="Times New Roman"/>
          <w:b w:val="0"/>
          <w:bCs w:val="0"/>
          <w:color w:val="auto"/>
          <w:kern w:val="0"/>
          <w:sz w:val="32"/>
          <w:lang w:val="en-US" w:eastAsia="zh-CN"/>
        </w:rPr>
        <w:t>单位（公章）：</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80" w:lineRule="atLeast"/>
        <w:ind w:left="0" w:leftChars="0" w:right="0" w:rightChars="0" w:firstLine="640" w:firstLineChars="0"/>
        <w:jc w:val="both"/>
        <w:textAlignment w:val="auto"/>
        <w:outlineLvl w:val="9"/>
        <w:rPr>
          <w:rFonts w:hint="default" w:ascii="Times New Roman" w:hAnsi="Times New Roman" w:eastAsia="仿宋_GB2312" w:cs="Times New Roman"/>
          <w:b w:val="0"/>
          <w:bCs w:val="0"/>
          <w:color w:val="auto"/>
          <w:kern w:val="0"/>
          <w:sz w:val="32"/>
          <w:lang w:val="en-US" w:eastAsia="zh-CN"/>
        </w:rPr>
      </w:pP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eastAsia" w:ascii="Times New Roman" w:hAnsi="Times New Roman" w:eastAsia="仿宋_GB2312" w:cs="Times New Roman"/>
          <w:b w:val="0"/>
          <w:bCs w:val="0"/>
          <w:color w:val="auto"/>
          <w:kern w:val="0"/>
          <w:sz w:val="32"/>
          <w:lang w:val="en-US" w:eastAsia="zh-CN"/>
        </w:rPr>
        <w:t xml:space="preserve">  </w:t>
      </w:r>
      <w:r>
        <w:rPr>
          <w:rFonts w:hint="eastAsia" w:eastAsia="仿宋_GB2312" w:cs="Times New Roman"/>
          <w:b w:val="0"/>
          <w:bCs w:val="0"/>
          <w:color w:val="auto"/>
          <w:kern w:val="0"/>
          <w:sz w:val="32"/>
          <w:lang w:val="en-US" w:eastAsia="zh-CN"/>
        </w:rPr>
        <w:t xml:space="preserve">       </w:t>
      </w:r>
      <w:r>
        <w:rPr>
          <w:rFonts w:hint="default" w:ascii="Times New Roman" w:hAnsi="Times New Roman" w:eastAsia="仿宋_GB2312" w:cs="Times New Roman"/>
          <w:b w:val="0"/>
          <w:bCs w:val="0"/>
          <w:color w:val="auto"/>
          <w:kern w:val="0"/>
          <w:sz w:val="32"/>
          <w:lang w:val="en-US" w:eastAsia="zh-CN"/>
        </w:rPr>
        <w:t xml:space="preserve">年 </w:t>
      </w:r>
      <w:r>
        <w:rPr>
          <w:rFonts w:hint="eastAsia" w:ascii="Times New Roman" w:hAnsi="Times New Roman" w:eastAsia="仿宋_GB2312" w:cs="Times New Roman"/>
          <w:b w:val="0"/>
          <w:bCs w:val="0"/>
          <w:color w:val="auto"/>
          <w:kern w:val="0"/>
          <w:sz w:val="32"/>
          <w:lang w:val="en-US" w:eastAsia="zh-CN"/>
        </w:rPr>
        <w:t xml:space="preserve">    </w:t>
      </w:r>
      <w:r>
        <w:rPr>
          <w:rFonts w:hint="default" w:ascii="Times New Roman" w:hAnsi="Times New Roman" w:eastAsia="仿宋_GB2312" w:cs="Times New Roman"/>
          <w:b w:val="0"/>
          <w:bCs w:val="0"/>
          <w:color w:val="auto"/>
          <w:kern w:val="0"/>
          <w:sz w:val="32"/>
          <w:lang w:val="en-US" w:eastAsia="zh-CN"/>
        </w:rPr>
        <w:t xml:space="preserve">月 </w:t>
      </w:r>
      <w:r>
        <w:rPr>
          <w:rFonts w:hint="eastAsia" w:ascii="Times New Roman" w:hAnsi="Times New Roman" w:eastAsia="仿宋_GB2312" w:cs="Times New Roman"/>
          <w:b w:val="0"/>
          <w:bCs w:val="0"/>
          <w:color w:val="auto"/>
          <w:kern w:val="0"/>
          <w:sz w:val="32"/>
          <w:lang w:val="en-US" w:eastAsia="zh-CN"/>
        </w:rPr>
        <w:t xml:space="preserve">    </w:t>
      </w:r>
      <w:r>
        <w:rPr>
          <w:rFonts w:hint="default" w:ascii="Times New Roman" w:hAnsi="Times New Roman" w:eastAsia="仿宋_GB2312" w:cs="Times New Roman"/>
          <w:b w:val="0"/>
          <w:bCs w:val="0"/>
          <w:color w:val="auto"/>
          <w:kern w:val="0"/>
          <w:sz w:val="32"/>
          <w:lang w:val="en-US" w:eastAsia="zh-CN"/>
        </w:rPr>
        <w:t>日</w:t>
      </w:r>
    </w:p>
    <w:tbl>
      <w:tblPr>
        <w:tblStyle w:val="5"/>
        <w:tblW w:w="968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945"/>
        <w:gridCol w:w="2248"/>
        <w:gridCol w:w="2248"/>
        <w:gridCol w:w="22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jc w:val="center"/>
        </w:trPr>
        <w:tc>
          <w:tcPr>
            <w:tcW w:w="2268" w:type="dxa"/>
            <w:gridSpan w:val="4"/>
            <w:noWrap w:val="0"/>
            <w:vAlign w:val="center"/>
          </w:tcPr>
          <w:p>
            <w:pPr>
              <w:keepNext w:val="0"/>
              <w:keepLines w:val="0"/>
              <w:widowControl/>
              <w:suppressLineNumbers w:val="0"/>
              <w:spacing w:line="0" w:lineRule="atLeast"/>
              <w:jc w:val="center"/>
              <w:textAlignment w:val="center"/>
              <w:rPr>
                <w:rFonts w:ascii="方正小标宋简体" w:hAnsi="方正小标宋简体" w:eastAsia="方正小标宋简体" w:cs="方正小标宋简体"/>
                <w:i w:val="0"/>
                <w:color w:val="auto"/>
                <w:sz w:val="40"/>
                <w:szCs w:val="40"/>
              </w:rPr>
            </w:pPr>
            <w:r>
              <w:rPr>
                <w:rFonts w:hint="eastAsia" w:ascii="方正大标宋简体" w:hAnsi="方正大标宋简体" w:eastAsia="方正大标宋简体" w:cs="方正大标宋简体"/>
                <w:color w:val="auto"/>
                <w:sz w:val="32"/>
                <w:highlight w:val="none"/>
              </w:rPr>
              <w:t>20</w:t>
            </w:r>
            <w:r>
              <w:rPr>
                <w:rFonts w:hint="eastAsia" w:ascii="方正大标宋简体" w:hAnsi="方正大标宋简体" w:eastAsia="方正大标宋简体" w:cs="方正大标宋简体"/>
                <w:color w:val="auto"/>
                <w:sz w:val="32"/>
                <w:highlight w:val="none"/>
                <w:lang w:val="en-US" w:eastAsia="zh-CN"/>
              </w:rPr>
              <w:t>23</w:t>
            </w:r>
            <w:r>
              <w:rPr>
                <w:rFonts w:hint="eastAsia" w:ascii="方正大标宋简体" w:hAnsi="方正大标宋简体" w:eastAsia="方正大标宋简体" w:cs="方正大标宋简体"/>
                <w:color w:val="auto"/>
                <w:sz w:val="32"/>
                <w:highlight w:val="none"/>
              </w:rPr>
              <w:t>年</w:t>
            </w:r>
            <w:r>
              <w:rPr>
                <w:rFonts w:hint="eastAsia" w:ascii="方正大标宋简体" w:hAnsi="方正大标宋简体" w:eastAsia="方正大标宋简体" w:cs="方正大标宋简体"/>
                <w:color w:val="auto"/>
                <w:sz w:val="32"/>
                <w:highlight w:val="none"/>
                <w:lang w:eastAsia="zh-CN"/>
              </w:rPr>
              <w:t>中央外经贸发展专项资金（应对贸易摩擦事项）</w:t>
            </w:r>
            <w:r>
              <w:rPr>
                <w:rFonts w:hint="eastAsia" w:ascii="方正大标宋简体" w:hAnsi="方正大标宋简体" w:eastAsia="方正大标宋简体" w:cs="方正大标宋简体"/>
                <w:i w:val="0"/>
                <w:color w:val="auto"/>
                <w:kern w:val="0"/>
                <w:sz w:val="32"/>
                <w:szCs w:val="32"/>
                <w:highlight w:val="none"/>
                <w:lang w:val="en-US" w:eastAsia="zh-CN" w:bidi="ar"/>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bottom w:val="single" w:color="auto" w:sz="4" w:space="0"/>
            </w:tcBorders>
            <w:noWrap w:val="0"/>
            <w:vAlign w:val="center"/>
          </w:tcPr>
          <w:p>
            <w:pPr>
              <w:spacing w:line="0" w:lineRule="atLeast"/>
              <w:jc w:val="center"/>
              <w:rPr>
                <w:rFonts w:hint="eastAsia" w:ascii="宋体" w:hAnsi="宋体" w:eastAsia="宋体" w:cs="宋体"/>
                <w:b/>
                <w:i w:val="0"/>
                <w:color w:val="auto"/>
                <w:sz w:val="32"/>
                <w:szCs w:val="32"/>
              </w:rPr>
            </w:pPr>
          </w:p>
        </w:tc>
        <w:tc>
          <w:tcPr>
            <w:tcW w:w="2268" w:type="dxa"/>
            <w:tcBorders>
              <w:bottom w:val="single" w:color="auto" w:sz="4" w:space="0"/>
            </w:tcBorders>
            <w:noWrap w:val="0"/>
            <w:vAlign w:val="center"/>
          </w:tcPr>
          <w:p>
            <w:pPr>
              <w:spacing w:line="0" w:lineRule="atLeast"/>
              <w:jc w:val="center"/>
              <w:rPr>
                <w:rFonts w:hint="eastAsia" w:ascii="宋体" w:hAnsi="宋体" w:eastAsia="宋体" w:cs="宋体"/>
                <w:b/>
                <w:i w:val="0"/>
                <w:color w:val="auto"/>
                <w:sz w:val="32"/>
                <w:szCs w:val="32"/>
              </w:rPr>
            </w:pPr>
          </w:p>
        </w:tc>
        <w:tc>
          <w:tcPr>
            <w:tcW w:w="2268" w:type="dxa"/>
            <w:tcBorders>
              <w:bottom w:val="single" w:color="auto" w:sz="4" w:space="0"/>
            </w:tcBorders>
            <w:noWrap w:val="0"/>
            <w:vAlign w:val="center"/>
          </w:tcPr>
          <w:p>
            <w:pPr>
              <w:keepNext w:val="0"/>
              <w:keepLines w:val="0"/>
              <w:widowControl/>
              <w:suppressLineNumbers w:val="0"/>
              <w:spacing w:line="0" w:lineRule="atLeast"/>
              <w:jc w:val="right"/>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填表时间：</w:t>
            </w:r>
          </w:p>
        </w:tc>
        <w:tc>
          <w:tcPr>
            <w:tcW w:w="2268" w:type="dxa"/>
            <w:tcBorders>
              <w:bottom w:val="single" w:color="auto" w:sz="4" w:space="0"/>
            </w:tcBorders>
            <w:noWrap w:val="0"/>
            <w:vAlign w:val="center"/>
          </w:tcPr>
          <w:p>
            <w:pPr>
              <w:keepNext w:val="0"/>
              <w:keepLines w:val="0"/>
              <w:widowControl/>
              <w:suppressLineNumbers w:val="0"/>
              <w:spacing w:line="0" w:lineRule="atLeast"/>
              <w:jc w:val="right"/>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xml:space="preserve">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企业名称及外文翻译名称</w:t>
            </w:r>
          </w:p>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sz w:val="20"/>
                <w:szCs w:val="20"/>
                <w:u w:val="none"/>
              </w:rPr>
            </w:pPr>
            <w:r>
              <w:rPr>
                <w:rFonts w:hint="eastAsia" w:ascii="宋体" w:hAnsi="宋体" w:eastAsia="宋体" w:cs="宋体"/>
                <w:b w:val="0"/>
                <w:bCs w:val="0"/>
                <w:i w:val="0"/>
                <w:color w:val="auto"/>
                <w:kern w:val="0"/>
                <w:sz w:val="20"/>
                <w:szCs w:val="20"/>
                <w:u w:val="none"/>
                <w:lang w:val="en-US" w:eastAsia="zh-CN" w:bidi="ar"/>
              </w:rPr>
              <w:t>（盖章）</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jc w:val="center"/>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sz w:val="20"/>
                <w:szCs w:val="20"/>
                <w:u w:val="none"/>
              </w:rPr>
            </w:pPr>
            <w:r>
              <w:rPr>
                <w:rFonts w:hint="eastAsia" w:ascii="宋体" w:hAnsi="宋体" w:cs="宋体"/>
                <w:b w:val="0"/>
                <w:bCs w:val="0"/>
                <w:i w:val="0"/>
                <w:color w:val="auto"/>
                <w:kern w:val="0"/>
                <w:sz w:val="20"/>
                <w:szCs w:val="20"/>
                <w:u w:val="none"/>
                <w:lang w:val="en-US" w:eastAsia="zh-CN" w:bidi="ar"/>
              </w:rPr>
              <w:t>地</w:t>
            </w:r>
            <w:r>
              <w:rPr>
                <w:rFonts w:hint="eastAsia" w:ascii="宋体" w:hAnsi="宋体" w:eastAsia="宋体" w:cs="宋体"/>
                <w:b w:val="0"/>
                <w:bCs w:val="0"/>
                <w:i w:val="0"/>
                <w:color w:val="auto"/>
                <w:kern w:val="0"/>
                <w:sz w:val="20"/>
                <w:szCs w:val="20"/>
                <w:u w:val="none"/>
                <w:lang w:val="en-US" w:eastAsia="zh-CN" w:bidi="ar"/>
              </w:rPr>
              <w:t xml:space="preserve">  址</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法定代表人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企业性质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cs="宋体"/>
                <w:b w:val="0"/>
                <w:bCs w:val="0"/>
                <w:i w:val="0"/>
                <w:color w:val="auto"/>
                <w:kern w:val="0"/>
                <w:sz w:val="20"/>
                <w:szCs w:val="20"/>
                <w:u w:val="none"/>
                <w:lang w:val="en-US" w:eastAsia="zh-CN" w:bidi="ar"/>
              </w:rPr>
              <w:t>社会信用代码</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cs="宋体"/>
                <w:b w:val="0"/>
                <w:bCs w:val="0"/>
                <w:i w:val="0"/>
                <w:color w:val="auto"/>
                <w:kern w:val="0"/>
                <w:sz w:val="20"/>
                <w:szCs w:val="20"/>
                <w:u w:val="none"/>
                <w:lang w:val="en-US" w:eastAsia="zh-CN" w:bidi="ar"/>
              </w:rPr>
              <w:t>组织机构代码</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sz w:val="20"/>
                <w:szCs w:val="20"/>
                <w:u w:val="none"/>
              </w:rPr>
            </w:pPr>
            <w:r>
              <w:rPr>
                <w:rFonts w:hint="eastAsia" w:ascii="宋体" w:hAnsi="宋体" w:cs="宋体"/>
                <w:b w:val="0"/>
                <w:bCs w:val="0"/>
                <w:i w:val="0"/>
                <w:color w:val="auto"/>
                <w:kern w:val="0"/>
                <w:sz w:val="20"/>
                <w:szCs w:val="20"/>
                <w:u w:val="none"/>
                <w:lang w:val="en-US" w:eastAsia="zh-CN" w:bidi="ar"/>
              </w:rPr>
              <w:t>开户行及户名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sz w:val="20"/>
                <w:szCs w:val="20"/>
                <w:u w:val="none"/>
              </w:rPr>
            </w:pPr>
            <w:r>
              <w:rPr>
                <w:rFonts w:hint="eastAsia" w:ascii="宋体" w:hAnsi="宋体" w:cs="宋体"/>
                <w:b w:val="0"/>
                <w:bCs w:val="0"/>
                <w:i w:val="0"/>
                <w:color w:val="auto"/>
                <w:kern w:val="0"/>
                <w:sz w:val="20"/>
                <w:szCs w:val="20"/>
                <w:u w:val="none"/>
                <w:lang w:val="en-US" w:eastAsia="zh-CN" w:bidi="ar"/>
              </w:rPr>
              <w:t>银行账号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联系人及手机号码、电子邮箱</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sz w:val="20"/>
                <w:szCs w:val="20"/>
                <w:u w:val="none"/>
              </w:rPr>
            </w:pPr>
            <w:r>
              <w:rPr>
                <w:rFonts w:hint="eastAsia" w:ascii="宋体" w:hAnsi="宋体" w:eastAsia="宋体" w:cs="宋体"/>
                <w:b w:val="0"/>
                <w:bCs w:val="0"/>
                <w:i w:val="0"/>
                <w:color w:val="auto"/>
                <w:kern w:val="0"/>
                <w:sz w:val="20"/>
                <w:szCs w:val="20"/>
                <w:u w:val="none"/>
                <w:lang w:val="en-US" w:eastAsia="zh-CN" w:bidi="ar"/>
              </w:rPr>
              <w:t>案件名称</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
            <w:pPr>
              <w:widowControl/>
              <w:spacing w:line="0" w:lineRule="atLeast"/>
              <w:jc w:val="both"/>
              <w:textAlignment w:val="center"/>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立案时间、国别（地区）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textAlignment w:val="center"/>
              <w:rPr>
                <w:rFonts w:hint="eastAsia" w:ascii="宋体" w:hAnsi="宋体" w:eastAsia="宋体" w:cs="宋体"/>
                <w:b w:val="0"/>
                <w:bCs w:val="0"/>
                <w:i w:val="0"/>
                <w:color w:val="auto"/>
                <w:kern w:val="0"/>
                <w:sz w:val="20"/>
                <w:szCs w:val="20"/>
                <w:u w:val="none"/>
                <w:lang w:val="en-US" w:eastAsia="zh-CN" w:bidi="ar"/>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企业海关代码</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textAlignment w:val="center"/>
              <w:rPr>
                <w:rFonts w:hint="eastAsia" w:ascii="宋体" w:hAnsi="宋体" w:eastAsia="宋体" w:cs="宋体"/>
                <w:b w:val="0"/>
                <w:bCs w:val="0"/>
                <w:i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涉案商品名称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default"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涉案商品海关HS编码</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主办律师事务所、律师及电话、电子邮箱</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b w:val="0"/>
                <w:bCs w:val="0"/>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cs="宋体"/>
                <w:i w:val="0"/>
                <w:color w:val="auto"/>
                <w:kern w:val="0"/>
                <w:sz w:val="20"/>
                <w:szCs w:val="20"/>
                <w:lang w:val="en-US" w:eastAsia="zh-CN" w:bidi="ar"/>
              </w:rPr>
              <w:t>案件结果</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cs="宋体"/>
                <w:color w:val="auto"/>
                <w:sz w:val="20"/>
                <w:szCs w:val="20"/>
              </w:rPr>
            </w:pPr>
            <w:r>
              <w:rPr>
                <w:rFonts w:hint="eastAsia" w:ascii="宋体" w:hAnsi="宋体" w:cs="宋体"/>
                <w:i w:val="0"/>
                <w:color w:val="auto"/>
                <w:sz w:val="20"/>
                <w:szCs w:val="20"/>
                <w:lang w:val="en-US" w:eastAsia="zh-CN"/>
              </w:rPr>
              <w:t xml:space="preserve"> 应诉类：</w:t>
            </w:r>
            <w:r>
              <w:rPr>
                <w:rFonts w:hint="eastAsia" w:ascii="宋体" w:hAnsi="宋体" w:cs="宋体"/>
                <w:color w:val="auto"/>
                <w:sz w:val="20"/>
                <w:szCs w:val="20"/>
              </w:rPr>
              <w:t>□获得最低税率    □取得胜诉（含申请人撤诉</w:t>
            </w:r>
            <w:r>
              <w:rPr>
                <w:rFonts w:hint="eastAsia" w:ascii="宋体" w:hAnsi="宋体" w:cs="宋体"/>
                <w:color w:val="auto"/>
                <w:sz w:val="20"/>
                <w:szCs w:val="20"/>
                <w:lang w:eastAsia="zh-CN"/>
              </w:rPr>
              <w:t>等</w:t>
            </w:r>
            <w:r>
              <w:rPr>
                <w:rFonts w:hint="eastAsia" w:ascii="宋体" w:hAnsi="宋体" w:cs="宋体"/>
                <w:color w:val="auto"/>
                <w:sz w:val="20"/>
                <w:szCs w:val="20"/>
              </w:rPr>
              <w:t xml:space="preserve">）   </w:t>
            </w:r>
            <w:r>
              <w:rPr>
                <w:rFonts w:hint="eastAsia" w:ascii="宋体" w:hAnsi="宋体" w:cs="宋体"/>
                <w:color w:val="auto"/>
                <w:sz w:val="20"/>
                <w:szCs w:val="20"/>
                <w:lang w:val="en-US" w:eastAsia="zh-CN"/>
              </w:rPr>
              <w:t xml:space="preserve"> </w:t>
            </w:r>
            <w:r>
              <w:rPr>
                <w:rFonts w:hint="eastAsia" w:ascii="宋体" w:hAnsi="宋体" w:cs="宋体"/>
                <w:color w:val="auto"/>
                <w:sz w:val="20"/>
                <w:szCs w:val="20"/>
              </w:rPr>
              <w:t xml:space="preserve"> □其他</w:t>
            </w:r>
          </w:p>
          <w:p>
            <w:pPr>
              <w:spacing w:line="0" w:lineRule="atLeast"/>
              <w:ind w:firstLine="0" w:firstLineChars="0"/>
              <w:rPr>
                <w:rFonts w:hint="eastAsia" w:ascii="宋体" w:hAnsi="宋体" w:eastAsia="宋体" w:cs="宋体"/>
                <w:b w:val="0"/>
                <w:bCs w:val="0"/>
                <w:i w:val="0"/>
                <w:color w:val="auto"/>
                <w:sz w:val="20"/>
                <w:szCs w:val="20"/>
                <w:u w:val="none"/>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lang w:eastAsia="zh-CN"/>
              </w:rPr>
              <w:t>发起类：</w:t>
            </w:r>
            <w:r>
              <w:rPr>
                <w:rFonts w:hint="eastAsia" w:ascii="宋体" w:hAnsi="宋体" w:cs="宋体"/>
                <w:color w:val="auto"/>
                <w:sz w:val="20"/>
                <w:szCs w:val="20"/>
              </w:rPr>
              <w:t>□</w:t>
            </w:r>
            <w:r>
              <w:rPr>
                <w:rFonts w:hint="eastAsia" w:ascii="宋体" w:hAnsi="宋体" w:cs="宋体"/>
                <w:color w:val="auto"/>
                <w:sz w:val="20"/>
                <w:szCs w:val="20"/>
                <w:lang w:eastAsia="zh-CN"/>
              </w:rPr>
              <w:t>裁定</w:t>
            </w:r>
            <w:r>
              <w:rPr>
                <w:rFonts w:hint="eastAsia" w:ascii="宋体" w:hAnsi="宋体" w:cs="宋体"/>
                <w:color w:val="auto"/>
                <w:sz w:val="20"/>
                <w:szCs w:val="20"/>
              </w:rPr>
              <w:t>征收反倾销税、反补贴税</w:t>
            </w:r>
            <w:r>
              <w:rPr>
                <w:rFonts w:hint="eastAsia" w:ascii="宋体" w:hAnsi="宋体" w:cs="宋体"/>
                <w:color w:val="auto"/>
                <w:sz w:val="20"/>
                <w:szCs w:val="20"/>
                <w:lang w:val="en-US" w:eastAsia="zh-CN"/>
              </w:rPr>
              <w:t xml:space="preserve">  </w:t>
            </w:r>
            <w:r>
              <w:rPr>
                <w:rFonts w:hint="eastAsia" w:ascii="宋体" w:hAnsi="宋体" w:cs="宋体"/>
                <w:color w:val="auto"/>
                <w:sz w:val="20"/>
                <w:szCs w:val="20"/>
              </w:rPr>
              <w:t>□</w:t>
            </w:r>
            <w:r>
              <w:rPr>
                <w:rFonts w:hint="eastAsia" w:ascii="宋体" w:hAnsi="宋体" w:cs="宋体"/>
                <w:color w:val="auto"/>
                <w:sz w:val="20"/>
                <w:szCs w:val="20"/>
                <w:lang w:eastAsia="zh-CN"/>
              </w:rPr>
              <w:t>裁定</w:t>
            </w:r>
            <w:r>
              <w:rPr>
                <w:rFonts w:hint="eastAsia" w:ascii="宋体" w:hAnsi="宋体" w:cs="宋体"/>
                <w:color w:val="auto"/>
                <w:sz w:val="20"/>
                <w:szCs w:val="20"/>
              </w:rPr>
              <w:t>实施保障措施</w:t>
            </w:r>
            <w:r>
              <w:rPr>
                <w:rFonts w:hint="eastAsia" w:ascii="宋体" w:hAnsi="宋体" w:cs="宋体"/>
                <w:color w:val="auto"/>
                <w:sz w:val="20"/>
                <w:szCs w:val="20"/>
                <w:lang w:val="en-US" w:eastAsia="zh-CN"/>
              </w:rPr>
              <w:t xml:space="preserve">   </w:t>
            </w:r>
            <w:r>
              <w:rPr>
                <w:rFonts w:hint="eastAsia" w:ascii="宋体" w:hAnsi="宋体" w:cs="宋体"/>
                <w:color w:val="auto"/>
                <w:sz w:val="20"/>
                <w:szCs w:val="20"/>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cs="宋体"/>
                <w:i w:val="0"/>
                <w:color w:val="auto"/>
                <w:kern w:val="0"/>
                <w:sz w:val="20"/>
                <w:szCs w:val="20"/>
                <w:lang w:val="en-US" w:eastAsia="zh-CN" w:bidi="ar"/>
              </w:rPr>
            </w:pPr>
            <w:r>
              <w:rPr>
                <w:rFonts w:hint="eastAsia" w:ascii="宋体" w:hAnsi="宋体" w:cs="宋体"/>
                <w:i w:val="0"/>
                <w:color w:val="auto"/>
                <w:kern w:val="0"/>
                <w:sz w:val="20"/>
                <w:szCs w:val="20"/>
                <w:lang w:val="en-US" w:eastAsia="zh-CN" w:bidi="ar"/>
              </w:rPr>
              <w:t>案件支出总额</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宋体" w:hAnsi="宋体" w:cs="宋体"/>
                <w:i w:val="0"/>
                <w:color w:val="auto"/>
                <w:sz w:val="20"/>
                <w:szCs w:val="20"/>
                <w:lang w:val="en-US"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7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r>
              <w:rPr>
                <w:rFonts w:hint="eastAsia" w:ascii="宋体" w:hAnsi="宋体" w:eastAsia="宋体" w:cs="宋体"/>
                <w:i w:val="0"/>
                <w:color w:val="auto"/>
                <w:kern w:val="0"/>
                <w:sz w:val="20"/>
                <w:szCs w:val="20"/>
                <w:highlight w:val="none"/>
                <w:lang w:val="en-US" w:eastAsia="zh-CN" w:bidi="ar"/>
              </w:rPr>
              <w:t>研究类别及申请</w:t>
            </w:r>
            <w:r>
              <w:rPr>
                <w:rFonts w:hint="eastAsia" w:ascii="宋体" w:hAnsi="宋体" w:eastAsia="宋体" w:cs="宋体"/>
                <w:i w:val="0"/>
                <w:color w:val="auto"/>
                <w:kern w:val="0"/>
                <w:sz w:val="20"/>
                <w:szCs w:val="20"/>
                <w:lang w:val="en-US" w:eastAsia="zh-CN" w:bidi="ar"/>
              </w:rPr>
              <w:t>额度</w:t>
            </w:r>
          </w:p>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ind w:left="1200" w:hanging="1200" w:hangingChars="600"/>
              <w:jc w:val="both"/>
              <w:rPr>
                <w:rFonts w:hint="eastAsia" w:ascii="宋体" w:hAnsi="宋体" w:cs="宋体"/>
                <w:color w:val="auto"/>
                <w:sz w:val="20"/>
                <w:szCs w:val="20"/>
                <w:lang w:val="en-US"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□应诉反倾销或反补贴调查</w:t>
            </w:r>
            <w:r>
              <w:rPr>
                <w:rFonts w:hint="eastAsia" w:ascii="宋体" w:hAnsi="宋体" w:cs="宋体"/>
                <w:color w:val="auto"/>
                <w:sz w:val="20"/>
                <w:szCs w:val="20"/>
                <w:lang w:eastAsia="zh-CN"/>
              </w:rPr>
              <w:t>（</w:t>
            </w:r>
            <w:r>
              <w:rPr>
                <w:rFonts w:hint="eastAsia" w:ascii="宋体" w:hAnsi="宋体" w:cs="宋体"/>
                <w:color w:val="auto"/>
                <w:sz w:val="20"/>
                <w:szCs w:val="20"/>
              </w:rPr>
              <w:t xml:space="preserve"> □</w:t>
            </w:r>
            <w:r>
              <w:rPr>
                <w:rFonts w:hint="eastAsia" w:ascii="宋体" w:hAnsi="宋体" w:cs="宋体"/>
                <w:color w:val="auto"/>
                <w:sz w:val="20"/>
                <w:szCs w:val="20"/>
                <w:lang w:eastAsia="zh-CN"/>
              </w:rPr>
              <w:t>及行业无损害抗辩）额度</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w:t>
            </w:r>
            <w:r>
              <w:rPr>
                <w:rFonts w:hint="eastAsia" w:ascii="宋体" w:hAnsi="宋体" w:cs="宋体"/>
                <w:color w:val="auto"/>
                <w:sz w:val="20"/>
                <w:szCs w:val="20"/>
                <w:u w:val="single"/>
                <w:lang w:val="en-US" w:eastAsia="zh-CN"/>
              </w:rPr>
              <w:t xml:space="preserve"> </w:t>
            </w:r>
            <w:r>
              <w:rPr>
                <w:rFonts w:hint="eastAsia" w:ascii="宋体" w:hAnsi="宋体" w:cs="宋体"/>
                <w:color w:val="auto"/>
                <w:sz w:val="20"/>
                <w:szCs w:val="20"/>
                <w:lang w:val="en-US" w:eastAsia="zh-CN"/>
              </w:rPr>
              <w:t xml:space="preserve">      </w:t>
            </w:r>
          </w:p>
          <w:p>
            <w:pPr>
              <w:spacing w:line="0" w:lineRule="atLeast"/>
              <w:ind w:left="0" w:leftChars="0" w:firstLine="0" w:firstLineChars="0"/>
              <w:jc w:val="both"/>
              <w:rPr>
                <w:rFonts w:hint="eastAsia" w:ascii="宋体" w:hAnsi="宋体" w:cs="宋体"/>
                <w:color w:val="auto"/>
                <w:sz w:val="20"/>
                <w:szCs w:val="20"/>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□应诉同一案件反倾销、反补贴调查</w:t>
            </w:r>
            <w:r>
              <w:rPr>
                <w:rFonts w:hint="eastAsia" w:ascii="宋体" w:hAnsi="宋体" w:cs="宋体"/>
                <w:color w:val="auto"/>
                <w:sz w:val="20"/>
                <w:szCs w:val="20"/>
                <w:lang w:val="en-US" w:eastAsia="zh-CN"/>
              </w:rPr>
              <w:t xml:space="preserve"> </w:t>
            </w:r>
            <w:r>
              <w:rPr>
                <w:rFonts w:hint="eastAsia" w:ascii="宋体" w:hAnsi="宋体" w:cs="宋体"/>
                <w:color w:val="auto"/>
                <w:sz w:val="20"/>
                <w:szCs w:val="20"/>
                <w:lang w:eastAsia="zh-CN"/>
              </w:rPr>
              <w:t>额度</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w:t>
            </w:r>
          </w:p>
          <w:p>
            <w:pPr>
              <w:spacing w:line="0" w:lineRule="atLeast"/>
              <w:ind w:left="0" w:firstLine="0" w:firstLineChars="0"/>
              <w:jc w:val="both"/>
              <w:rPr>
                <w:rFonts w:hint="eastAsia" w:ascii="宋体" w:hAnsi="宋体" w:cs="宋体"/>
                <w:color w:val="auto"/>
                <w:sz w:val="20"/>
                <w:szCs w:val="20"/>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□应诉保障措施</w:t>
            </w:r>
            <w:r>
              <w:rPr>
                <w:rFonts w:hint="eastAsia" w:ascii="宋体" w:hAnsi="宋体" w:cs="宋体"/>
                <w:color w:val="auto"/>
                <w:sz w:val="20"/>
                <w:szCs w:val="20"/>
                <w:lang w:val="en-US" w:eastAsia="zh-CN"/>
              </w:rPr>
              <w:t xml:space="preserve"> </w:t>
            </w:r>
            <w:r>
              <w:rPr>
                <w:rFonts w:hint="eastAsia" w:ascii="宋体" w:hAnsi="宋体" w:cs="宋体"/>
                <w:color w:val="auto"/>
                <w:sz w:val="20"/>
                <w:szCs w:val="20"/>
                <w:lang w:eastAsia="zh-CN"/>
              </w:rPr>
              <w:t>额度</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w:t>
            </w:r>
          </w:p>
          <w:p>
            <w:pPr>
              <w:spacing w:line="0" w:lineRule="atLeast"/>
              <w:ind w:left="0" w:firstLine="0" w:firstLineChars="0"/>
              <w:jc w:val="both"/>
              <w:rPr>
                <w:rFonts w:hint="eastAsia" w:ascii="宋体" w:hAnsi="宋体" w:eastAsia="宋体" w:cs="宋体"/>
                <w:color w:val="auto"/>
                <w:sz w:val="20"/>
                <w:szCs w:val="20"/>
                <w:lang w:val="en-US"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□应对知识产权争端</w:t>
            </w:r>
            <w:r>
              <w:rPr>
                <w:rFonts w:hint="eastAsia" w:ascii="宋体" w:hAnsi="宋体" w:cs="宋体"/>
                <w:color w:val="auto"/>
                <w:sz w:val="20"/>
                <w:szCs w:val="20"/>
                <w:lang w:val="en-US" w:eastAsia="zh-CN"/>
              </w:rPr>
              <w:t xml:space="preserve"> </w:t>
            </w:r>
            <w:r>
              <w:rPr>
                <w:rFonts w:hint="eastAsia" w:ascii="宋体" w:hAnsi="宋体" w:cs="宋体"/>
                <w:color w:val="auto"/>
                <w:sz w:val="20"/>
                <w:szCs w:val="20"/>
                <w:lang w:eastAsia="zh-CN"/>
              </w:rPr>
              <w:t>额度</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w:t>
            </w:r>
          </w:p>
          <w:p>
            <w:pPr>
              <w:spacing w:line="0" w:lineRule="atLeast"/>
              <w:ind w:left="0" w:firstLine="0" w:firstLineChars="0"/>
              <w:jc w:val="both"/>
              <w:rPr>
                <w:rFonts w:hint="eastAsia" w:ascii="宋体" w:hAnsi="宋体" w:cs="宋体"/>
                <w:i w:val="0"/>
                <w:color w:val="auto"/>
                <w:sz w:val="20"/>
                <w:szCs w:val="20"/>
                <w:lang w:val="en-US"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□发起贸易救济调查</w:t>
            </w:r>
            <w:r>
              <w:rPr>
                <w:rFonts w:hint="eastAsia" w:ascii="宋体" w:hAnsi="宋体" w:cs="宋体"/>
                <w:color w:val="auto"/>
                <w:sz w:val="20"/>
                <w:szCs w:val="20"/>
                <w:lang w:val="en-US" w:eastAsia="zh-CN"/>
              </w:rPr>
              <w:t xml:space="preserve"> </w:t>
            </w:r>
            <w:r>
              <w:rPr>
                <w:rFonts w:hint="eastAsia" w:ascii="宋体" w:hAnsi="宋体" w:cs="宋体"/>
                <w:color w:val="auto"/>
                <w:sz w:val="20"/>
                <w:szCs w:val="20"/>
                <w:lang w:eastAsia="zh-CN"/>
              </w:rPr>
              <w:t>额度</w:t>
            </w:r>
            <w:r>
              <w:rPr>
                <w:rFonts w:hint="eastAsia" w:ascii="宋体" w:hAnsi="宋体" w:cs="宋体"/>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w:t>
            </w:r>
          </w:p>
          <w:p>
            <w:pPr>
              <w:spacing w:line="0" w:lineRule="atLeast"/>
              <w:ind w:left="0" w:firstLine="0" w:firstLineChars="0"/>
              <w:jc w:val="both"/>
              <w:rPr>
                <w:rFonts w:hint="eastAsia" w:ascii="宋体" w:hAnsi="宋体" w:cs="宋体"/>
                <w:i w:val="0"/>
                <w:color w:val="auto"/>
                <w:sz w:val="20"/>
                <w:szCs w:val="20"/>
                <w:lang w:val="en-US" w:eastAsia="zh-CN"/>
              </w:rPr>
            </w:pPr>
          </w:p>
          <w:p>
            <w:pPr>
              <w:spacing w:line="0" w:lineRule="atLeast"/>
              <w:ind w:left="0" w:firstLine="0" w:firstLineChars="0"/>
              <w:jc w:val="both"/>
              <w:rPr>
                <w:rFonts w:hint="eastAsia" w:ascii="宋体" w:hAnsi="宋体" w:cs="宋体"/>
                <w:i w:val="0"/>
                <w:color w:val="auto"/>
                <w:sz w:val="20"/>
                <w:szCs w:val="20"/>
                <w:lang w:val="en-US" w:eastAsia="zh-CN"/>
              </w:rPr>
            </w:pPr>
          </w:p>
          <w:p>
            <w:pPr>
              <w:spacing w:line="0" w:lineRule="atLeast"/>
              <w:ind w:left="0" w:firstLine="0" w:firstLineChars="0"/>
              <w:jc w:val="both"/>
              <w:rPr>
                <w:rFonts w:hint="eastAsia" w:ascii="宋体" w:hAnsi="宋体" w:cs="宋体"/>
                <w:i w:val="0"/>
                <w:color w:val="auto"/>
                <w:sz w:val="20"/>
                <w:szCs w:val="20"/>
                <w:lang w:val="en-US" w:eastAsia="zh-CN"/>
              </w:rPr>
            </w:pPr>
          </w:p>
          <w:p>
            <w:pPr>
              <w:spacing w:line="0" w:lineRule="atLeast"/>
              <w:ind w:left="0" w:firstLine="0" w:firstLineChars="0"/>
              <w:jc w:val="both"/>
              <w:rPr>
                <w:rFonts w:hint="eastAsia" w:ascii="宋体" w:hAnsi="宋体" w:cs="宋体"/>
                <w:i w:val="0"/>
                <w:color w:val="auto"/>
                <w:sz w:val="20"/>
                <w:szCs w:val="20"/>
                <w:lang w:val="en-US" w:eastAsia="zh-CN"/>
              </w:rPr>
            </w:pPr>
          </w:p>
          <w:p>
            <w:pPr>
              <w:spacing w:line="0" w:lineRule="atLeast"/>
              <w:ind w:left="0" w:firstLine="0" w:firstLineChars="0"/>
              <w:jc w:val="both"/>
              <w:rPr>
                <w:rFonts w:hint="eastAsia" w:ascii="宋体" w:hAnsi="宋体" w:cs="宋体"/>
                <w:i w:val="0"/>
                <w:color w:val="auto"/>
                <w:sz w:val="20"/>
                <w:szCs w:val="20"/>
                <w:lang w:val="en-US" w:eastAsia="zh-CN"/>
              </w:rPr>
            </w:pPr>
          </w:p>
          <w:p>
            <w:pPr>
              <w:spacing w:line="0" w:lineRule="atLeast"/>
              <w:ind w:left="0" w:firstLine="0" w:firstLineChars="0"/>
              <w:jc w:val="both"/>
              <w:rPr>
                <w:rFonts w:hint="eastAsia" w:ascii="宋体" w:hAnsi="宋体" w:eastAsia="宋体" w:cs="宋体"/>
                <w:i w:val="0"/>
                <w:color w:val="auto"/>
                <w:sz w:val="20"/>
                <w:szCs w:val="20"/>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cs="宋体"/>
                <w:i w:val="0"/>
                <w:color w:val="auto"/>
                <w:kern w:val="0"/>
                <w:sz w:val="20"/>
                <w:szCs w:val="20"/>
                <w:lang w:val="en-US" w:eastAsia="zh-CN" w:bidi="ar"/>
              </w:rPr>
            </w:pPr>
            <w:r>
              <w:rPr>
                <w:rFonts w:hint="eastAsia" w:ascii="宋体" w:hAnsi="宋体" w:cs="宋体"/>
                <w:i w:val="0"/>
                <w:color w:val="auto"/>
                <w:kern w:val="0"/>
                <w:sz w:val="20"/>
                <w:szCs w:val="20"/>
                <w:lang w:val="en-US" w:eastAsia="zh-CN" w:bidi="ar"/>
              </w:rPr>
              <w:t>获得市级同类资金支持情况</w:t>
            </w:r>
          </w:p>
        </w:tc>
        <w:tc>
          <w:tcPr>
            <w:tcW w:w="22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jc w:val="both"/>
              <w:rPr>
                <w:rFonts w:hint="eastAsia" w:ascii="宋体" w:hAnsi="宋体" w:cs="宋体"/>
                <w:i w:val="0"/>
                <w:color w:val="auto"/>
                <w:sz w:val="20"/>
                <w:szCs w:val="20"/>
                <w:lang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w:t>
            </w:r>
            <w:r>
              <w:rPr>
                <w:rFonts w:hint="eastAsia" w:ascii="宋体" w:hAnsi="宋体" w:eastAsia="宋体" w:cs="宋体"/>
                <w:i w:val="0"/>
                <w:color w:val="auto"/>
                <w:sz w:val="20"/>
                <w:szCs w:val="20"/>
                <w:lang w:eastAsia="zh-CN"/>
              </w:rPr>
              <w:t>案件及研究成果未</w:t>
            </w:r>
            <w:r>
              <w:rPr>
                <w:rFonts w:hint="eastAsia" w:ascii="宋体" w:hAnsi="宋体" w:cs="宋体"/>
                <w:i w:val="0"/>
                <w:color w:val="auto"/>
                <w:sz w:val="20"/>
                <w:szCs w:val="20"/>
                <w:lang w:eastAsia="zh-CN"/>
              </w:rPr>
              <w:t>获得市级同类资金支持；</w:t>
            </w:r>
          </w:p>
          <w:p>
            <w:pPr>
              <w:spacing w:line="0" w:lineRule="atLeast"/>
              <w:rPr>
                <w:rFonts w:hint="eastAsia" w:ascii="宋体" w:hAnsi="宋体" w:cs="宋体"/>
                <w:i w:val="0"/>
                <w:color w:val="auto"/>
                <w:sz w:val="20"/>
                <w:szCs w:val="20"/>
                <w:lang w:val="en-US" w:eastAsia="zh-CN"/>
              </w:rPr>
            </w:pPr>
            <w:r>
              <w:rPr>
                <w:rFonts w:hint="eastAsia" w:ascii="宋体" w:hAnsi="宋体" w:cs="宋体"/>
                <w:i w:val="0"/>
                <w:color w:val="auto"/>
                <w:sz w:val="20"/>
                <w:szCs w:val="20"/>
                <w:lang w:val="en-US" w:eastAsia="zh-CN"/>
              </w:rPr>
              <w:t xml:space="preserve"> </w:t>
            </w:r>
            <w:r>
              <w:rPr>
                <w:rFonts w:hint="eastAsia" w:ascii="宋体" w:hAnsi="宋体" w:cs="宋体"/>
                <w:color w:val="auto"/>
                <w:sz w:val="20"/>
                <w:szCs w:val="20"/>
              </w:rPr>
              <w:t>□</w:t>
            </w:r>
            <w:r>
              <w:rPr>
                <w:rFonts w:hint="eastAsia" w:ascii="仿宋_GB2312" w:hAnsi="仿宋_GB2312" w:eastAsia="仿宋_GB2312" w:cs="仿宋_GB2312"/>
                <w:i w:val="0"/>
                <w:color w:val="auto"/>
                <w:sz w:val="20"/>
                <w:szCs w:val="20"/>
                <w:lang w:eastAsia="zh-CN"/>
              </w:rPr>
              <w:t>案</w:t>
            </w:r>
            <w:r>
              <w:rPr>
                <w:rFonts w:hint="eastAsia" w:ascii="宋体" w:hAnsi="宋体" w:eastAsia="宋体" w:cs="宋体"/>
                <w:i w:val="0"/>
                <w:color w:val="auto"/>
                <w:sz w:val="20"/>
                <w:szCs w:val="20"/>
                <w:lang w:eastAsia="zh-CN"/>
              </w:rPr>
              <w:t>件及研究成果</w:t>
            </w:r>
            <w:r>
              <w:rPr>
                <w:rFonts w:hint="eastAsia" w:ascii="宋体" w:hAnsi="宋体" w:eastAsia="宋体" w:cs="宋体"/>
                <w:i w:val="0"/>
                <w:color w:val="auto"/>
                <w:sz w:val="20"/>
                <w:szCs w:val="20"/>
                <w:lang w:val="en-US" w:eastAsia="zh-CN"/>
              </w:rPr>
              <w:t>已</w:t>
            </w:r>
            <w:r>
              <w:rPr>
                <w:rFonts w:hint="eastAsia" w:ascii="宋体" w:hAnsi="宋体" w:cs="宋体"/>
                <w:i w:val="0"/>
                <w:color w:val="auto"/>
                <w:sz w:val="20"/>
                <w:szCs w:val="20"/>
                <w:lang w:val="en-US" w:eastAsia="zh-CN"/>
              </w:rPr>
              <w:t>获得市级同类资金资助，支持金额</w:t>
            </w:r>
            <w:r>
              <w:rPr>
                <w:rFonts w:hint="eastAsia" w:ascii="宋体" w:hAnsi="宋体" w:cs="宋体"/>
                <w:i w:val="0"/>
                <w:color w:val="auto"/>
                <w:sz w:val="20"/>
                <w:szCs w:val="20"/>
                <w:u w:val="single"/>
                <w:lang w:val="en-US" w:eastAsia="zh-CN"/>
              </w:rPr>
              <w:t xml:space="preserve">               </w:t>
            </w:r>
            <w:r>
              <w:rPr>
                <w:rFonts w:hint="eastAsia" w:ascii="宋体" w:hAnsi="宋体" w:cs="宋体"/>
                <w:i w:val="0"/>
                <w:color w:val="auto"/>
                <w:sz w:val="20"/>
                <w:szCs w:val="20"/>
                <w:u w:val="none"/>
                <w:lang w:val="en-US" w:eastAsia="zh-CN"/>
              </w:rPr>
              <w:t>元</w:t>
            </w:r>
            <w:r>
              <w:rPr>
                <w:rFonts w:hint="eastAsia" w:ascii="宋体" w:hAnsi="宋体" w:cs="宋体"/>
                <w:i w:val="0"/>
                <w:color w:val="auto"/>
                <w:sz w:val="20"/>
                <w:szCs w:val="20"/>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center"/>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企业经营情况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spacing w:line="0" w:lineRule="atLeast"/>
              <w:ind w:left="105" w:leftChars="50"/>
              <w:jc w:val="both"/>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jc w:val="center"/>
              <w:textAlignment w:val="center"/>
              <w:rPr>
                <w:rFonts w:hint="default" w:ascii="宋体" w:hAnsi="宋体" w:eastAsia="宋体" w:cs="宋体"/>
                <w:i w:val="0"/>
                <w:color w:val="auto"/>
                <w:sz w:val="20"/>
                <w:szCs w:val="20"/>
                <w:lang w:val="en-US"/>
              </w:rPr>
            </w:pPr>
            <w:r>
              <w:rPr>
                <w:rFonts w:hint="eastAsia" w:ascii="宋体" w:hAnsi="宋体" w:eastAsia="宋体" w:cs="宋体"/>
                <w:i w:val="0"/>
                <w:color w:val="auto"/>
                <w:kern w:val="0"/>
                <w:sz w:val="20"/>
                <w:szCs w:val="20"/>
                <w:lang w:val="en-US" w:eastAsia="zh-CN" w:bidi="ar"/>
              </w:rPr>
              <w:t>20</w:t>
            </w:r>
            <w:r>
              <w:rPr>
                <w:rFonts w:hint="eastAsia" w:ascii="宋体" w:hAnsi="宋体" w:cs="宋体"/>
                <w:i w:val="0"/>
                <w:color w:val="auto"/>
                <w:kern w:val="0"/>
                <w:sz w:val="20"/>
                <w:szCs w:val="20"/>
                <w:lang w:val="en-US" w:eastAsia="zh-CN" w:bidi="ar"/>
              </w:rPr>
              <w:t>20</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jc w:val="center"/>
              <w:textAlignment w:val="center"/>
              <w:rPr>
                <w:rFonts w:hint="default" w:ascii="宋体" w:hAnsi="宋体" w:eastAsia="宋体" w:cs="宋体"/>
                <w:i w:val="0"/>
                <w:color w:val="auto"/>
                <w:sz w:val="20"/>
                <w:szCs w:val="20"/>
                <w:lang w:val="en-US"/>
              </w:rPr>
            </w:pPr>
            <w:r>
              <w:rPr>
                <w:rFonts w:hint="eastAsia" w:ascii="宋体" w:hAnsi="宋体" w:eastAsia="宋体" w:cs="宋体"/>
                <w:i w:val="0"/>
                <w:color w:val="auto"/>
                <w:kern w:val="0"/>
                <w:sz w:val="20"/>
                <w:szCs w:val="20"/>
                <w:lang w:val="en-US" w:eastAsia="zh-CN" w:bidi="ar"/>
              </w:rPr>
              <w:t>20</w:t>
            </w:r>
            <w:r>
              <w:rPr>
                <w:rFonts w:hint="eastAsia" w:ascii="宋体" w:hAnsi="宋体" w:cs="宋体"/>
                <w:i w:val="0"/>
                <w:color w:val="auto"/>
                <w:kern w:val="0"/>
                <w:sz w:val="20"/>
                <w:szCs w:val="20"/>
                <w:lang w:val="en-US" w:eastAsia="zh-CN" w:bidi="ar"/>
              </w:rPr>
              <w:t>21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jc w:val="center"/>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20</w:t>
            </w:r>
            <w:r>
              <w:rPr>
                <w:rFonts w:hint="eastAsia" w:ascii="宋体" w:hAnsi="宋体" w:cs="宋体"/>
                <w:i w:val="0"/>
                <w:color w:val="auto"/>
                <w:kern w:val="0"/>
                <w:sz w:val="20"/>
                <w:szCs w:val="20"/>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销售总额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职工人数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主要出口产品</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主要出口市场（前三位）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i w:val="0"/>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出口总额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涉案产品出口总额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涉案产品平均出口单价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涉案产品对立案国出口总额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kern w:val="2"/>
                <w:sz w:val="20"/>
                <w:szCs w:val="20"/>
                <w:lang w:val="en-US" w:eastAsia="zh-CN" w:bidi="ar-SA"/>
              </w:rPr>
            </w:pPr>
            <w:r>
              <w:rPr>
                <w:rFonts w:hint="eastAsia" w:ascii="宋体" w:hAnsi="宋体" w:eastAsia="宋体" w:cs="宋体"/>
                <w:i w:val="0"/>
                <w:color w:val="auto"/>
                <w:kern w:val="0"/>
                <w:sz w:val="20"/>
                <w:szCs w:val="2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exact"/>
          <w:jc w:val="center"/>
        </w:trPr>
        <w:tc>
          <w:tcPr>
            <w:tcW w:w="2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line="0" w:lineRule="atLeast"/>
              <w:ind w:left="105" w:leftChars="50"/>
              <w:jc w:val="both"/>
              <w:textAlignment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涉案产品对立案国平均出口单价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0" w:lineRule="atLeast"/>
              <w:jc w:val="righ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元</w:t>
            </w:r>
          </w:p>
        </w:tc>
      </w:tr>
    </w:tbl>
    <w:p>
      <w:pPr>
        <w:keepNext w:val="0"/>
        <w:keepLines w:val="0"/>
        <w:widowControl/>
        <w:suppressLineNumbers w:val="0"/>
        <w:jc w:val="left"/>
        <w:textAlignment w:val="bottom"/>
        <w:rPr>
          <w:rFonts w:hint="eastAsia" w:ascii="黑体" w:hAnsi="黑体" w:eastAsia="黑体" w:cs="黑体"/>
          <w:i w:val="0"/>
          <w:color w:val="auto"/>
          <w:kern w:val="0"/>
          <w:sz w:val="32"/>
          <w:szCs w:val="32"/>
          <w:lang w:val="en-US" w:eastAsia="zh-CN" w:bidi="ar"/>
        </w:rPr>
        <w:sectPr>
          <w:headerReference r:id="rId6" w:type="default"/>
          <w:footerReference r:id="rId7" w:type="default"/>
          <w:pgSz w:w="11905"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5"/>
        <w:tblW w:w="152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10"/>
        <w:gridCol w:w="1185"/>
        <w:gridCol w:w="2070"/>
        <w:gridCol w:w="3261"/>
        <w:gridCol w:w="1262"/>
        <w:gridCol w:w="352"/>
        <w:gridCol w:w="2523"/>
        <w:gridCol w:w="1250"/>
        <w:gridCol w:w="1188"/>
        <w:gridCol w:w="1296"/>
        <w:gridCol w:w="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873" w:hRule="atLeast"/>
          <w:jc w:val="center"/>
        </w:trPr>
        <w:tc>
          <w:tcPr>
            <w:tcW w:w="15197" w:type="dxa"/>
            <w:gridSpan w:val="10"/>
            <w:noWrap w:val="0"/>
            <w:vAlign w:val="bottom"/>
          </w:tcPr>
          <w:p>
            <w:pPr>
              <w:keepNext w:val="0"/>
              <w:keepLines w:val="0"/>
              <w:widowControl/>
              <w:suppressLineNumbers w:val="0"/>
              <w:jc w:val="left"/>
              <w:textAlignment w:val="bottom"/>
              <w:rPr>
                <w:rFonts w:hint="eastAsia" w:ascii="宋体" w:hAnsi="宋体" w:eastAsia="宋体" w:cs="宋体"/>
                <w:i w:val="0"/>
                <w:color w:val="auto"/>
                <w:sz w:val="24"/>
                <w:szCs w:val="24"/>
              </w:rPr>
            </w:pPr>
            <w:r>
              <w:rPr>
                <w:rFonts w:hint="eastAsia" w:ascii="黑体" w:hAnsi="黑体" w:eastAsia="黑体" w:cs="黑体"/>
                <w:i w:val="0"/>
                <w:color w:val="auto"/>
                <w:kern w:val="0"/>
                <w:sz w:val="32"/>
                <w:szCs w:val="32"/>
                <w:lang w:val="en-US" w:eastAsia="zh-CN" w:bidi="ar"/>
              </w:rPr>
              <w:t xml:space="preserve">附件2 </w:t>
            </w:r>
          </w:p>
          <w:p>
            <w:pPr>
              <w:rPr>
                <w:rFonts w:hint="eastAsia" w:ascii="宋体" w:hAnsi="宋体" w:eastAsia="宋体" w:cs="宋体"/>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855" w:hRule="atLeast"/>
          <w:jc w:val="center"/>
        </w:trPr>
        <w:tc>
          <w:tcPr>
            <w:tcW w:w="15197" w:type="dxa"/>
            <w:gridSpan w:val="10"/>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600" w:lineRule="exact"/>
              <w:ind w:left="0" w:leftChars="0" w:right="0" w:rightChars="0" w:firstLine="0" w:firstLineChars="0"/>
              <w:jc w:val="center"/>
              <w:textAlignment w:val="auto"/>
              <w:outlineLvl w:val="9"/>
              <w:rPr>
                <w:rFonts w:ascii="华文中宋" w:hAnsi="华文中宋" w:eastAsia="华文中宋" w:cs="华文中宋"/>
                <w:b/>
                <w:i w:val="0"/>
                <w:color w:val="auto"/>
                <w:sz w:val="36"/>
                <w:szCs w:val="36"/>
              </w:rPr>
            </w:pPr>
            <w:r>
              <w:rPr>
                <w:rFonts w:hint="eastAsia" w:ascii="方正大标宋简体" w:hAnsi="方正大标宋简体" w:eastAsia="方正大标宋简体" w:cs="方正大标宋简体"/>
                <w:color w:val="auto"/>
                <w:sz w:val="32"/>
                <w:szCs w:val="32"/>
                <w:highlight w:val="none"/>
              </w:rPr>
              <w:t>20</w:t>
            </w:r>
            <w:r>
              <w:rPr>
                <w:rFonts w:hint="eastAsia" w:ascii="方正大标宋简体" w:hAnsi="方正大标宋简体" w:eastAsia="方正大标宋简体" w:cs="方正大标宋简体"/>
                <w:color w:val="auto"/>
                <w:sz w:val="32"/>
                <w:szCs w:val="32"/>
                <w:highlight w:val="none"/>
                <w:lang w:val="en-US" w:eastAsia="zh-CN"/>
              </w:rPr>
              <w:t>23</w:t>
            </w:r>
            <w:r>
              <w:rPr>
                <w:rFonts w:hint="eastAsia" w:ascii="方正大标宋简体" w:hAnsi="方正大标宋简体" w:eastAsia="方正大标宋简体" w:cs="方正大标宋简体"/>
                <w:color w:val="auto"/>
                <w:sz w:val="32"/>
                <w:szCs w:val="32"/>
                <w:highlight w:val="none"/>
              </w:rPr>
              <w:t>年</w:t>
            </w:r>
            <w:r>
              <w:rPr>
                <w:rFonts w:hint="eastAsia" w:ascii="方正大标宋简体" w:hAnsi="方正大标宋简体" w:eastAsia="方正大标宋简体" w:cs="方正大标宋简体"/>
                <w:color w:val="auto"/>
                <w:sz w:val="32"/>
                <w:szCs w:val="32"/>
                <w:highlight w:val="none"/>
                <w:lang w:eastAsia="zh-CN"/>
              </w:rPr>
              <w:t>中央外经贸发展专项资金（应对贸易摩擦事项）</w:t>
            </w:r>
            <w:r>
              <w:rPr>
                <w:rFonts w:hint="eastAsia" w:ascii="方正大标宋简体" w:hAnsi="方正大标宋简体" w:eastAsia="方正大标宋简体" w:cs="方正大标宋简体"/>
                <w:bCs/>
                <w:color w:val="auto"/>
                <w:kern w:val="0"/>
                <w:sz w:val="32"/>
                <w:szCs w:val="32"/>
                <w:highlight w:val="none"/>
                <w:lang w:bidi="ar"/>
              </w:rPr>
              <w:t>申报项目初审意见汇总表</w:t>
            </w:r>
            <w:r>
              <w:rPr>
                <w:rFonts w:hint="eastAsia" w:ascii="方正大标宋简体" w:hAnsi="方正大标宋简体" w:eastAsia="方正大标宋简体" w:cs="方正大标宋简体"/>
                <w:b w:val="0"/>
                <w:bCs/>
                <w:i w:val="0"/>
                <w:color w:val="auto"/>
                <w:kern w:val="0"/>
                <w:sz w:val="32"/>
                <w:szCs w:val="32"/>
                <w:highlight w:val="none"/>
                <w:lang w:val="en-US" w:eastAsia="zh-CN" w:bidi="ar"/>
              </w:rPr>
              <w:t>（</w:t>
            </w:r>
            <w:r>
              <w:rPr>
                <w:rStyle w:val="9"/>
                <w:rFonts w:hint="eastAsia" w:ascii="方正大标宋简体" w:hAnsi="方正大标宋简体" w:eastAsia="方正大标宋简体" w:cs="方正大标宋简体"/>
                <w:b w:val="0"/>
                <w:bCs/>
                <w:color w:val="auto"/>
                <w:sz w:val="32"/>
                <w:szCs w:val="32"/>
                <w:highlight w:val="none"/>
                <w:lang w:val="en-US" w:eastAsia="zh-CN" w:bidi="ar"/>
              </w:rPr>
              <w:t>XX</w:t>
            </w:r>
            <w:r>
              <w:rPr>
                <w:rStyle w:val="10"/>
                <w:rFonts w:hint="eastAsia" w:ascii="方正大标宋简体" w:hAnsi="方正大标宋简体" w:eastAsia="方正大标宋简体" w:cs="方正大标宋简体"/>
                <w:b w:val="0"/>
                <w:bCs/>
                <w:color w:val="auto"/>
                <w:sz w:val="32"/>
                <w:szCs w:val="32"/>
                <w:highlight w:val="none"/>
                <w:lang w:val="en-US" w:eastAsia="zh-CN" w:bidi="ar"/>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754" w:hRule="atLeast"/>
          <w:jc w:val="center"/>
        </w:trPr>
        <w:tc>
          <w:tcPr>
            <w:tcW w:w="12713" w:type="dxa"/>
            <w:gridSpan w:val="8"/>
            <w:tcBorders>
              <w:bottom w:val="single" w:color="000000" w:sz="4" w:space="0"/>
            </w:tcBorders>
            <w:noWrap w:val="0"/>
            <w:vAlign w:val="center"/>
          </w:tcPr>
          <w:p>
            <w:pPr>
              <w:rPr>
                <w:rFonts w:hint="eastAsia" w:ascii="宋体" w:hAnsi="宋体" w:eastAsia="宋体" w:cs="宋体"/>
                <w:i w:val="0"/>
                <w:color w:val="auto"/>
                <w:sz w:val="22"/>
                <w:szCs w:val="22"/>
              </w:rPr>
            </w:pPr>
            <w:r>
              <w:rPr>
                <w:rFonts w:hint="eastAsia" w:ascii="宋体" w:hAnsi="宋体" w:eastAsia="宋体" w:cs="宋体"/>
                <w:i w:val="0"/>
                <w:color w:val="auto"/>
                <w:kern w:val="0"/>
                <w:sz w:val="22"/>
                <w:szCs w:val="22"/>
                <w:lang w:val="en-US" w:eastAsia="zh-CN" w:bidi="ar"/>
              </w:rPr>
              <w:t>填报单位：（盖章）</w:t>
            </w:r>
          </w:p>
        </w:tc>
        <w:tc>
          <w:tcPr>
            <w:tcW w:w="2484" w:type="dxa"/>
            <w:gridSpan w:val="2"/>
            <w:tcBorders>
              <w:bottom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auto"/>
                <w:sz w:val="22"/>
                <w:szCs w:val="22"/>
              </w:rPr>
            </w:pPr>
            <w:r>
              <w:rPr>
                <w:rFonts w:hint="eastAsia" w:ascii="宋体" w:hAnsi="宋体" w:eastAsia="宋体" w:cs="宋体"/>
                <w:i w:val="0"/>
                <w:color w:val="auto"/>
                <w:kern w:val="0"/>
                <w:sz w:val="22"/>
                <w:szCs w:val="22"/>
                <w:lang w:val="en-US" w:eastAsia="zh-CN" w:bidi="ar"/>
              </w:rPr>
              <w:t>金额单位：人民币万元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795"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ascii="黑体" w:hAnsi="宋体" w:eastAsia="黑体" w:cs="黑体"/>
                <w:i w:val="0"/>
                <w:color w:val="auto"/>
                <w:sz w:val="24"/>
                <w:szCs w:val="24"/>
              </w:rPr>
            </w:pPr>
            <w:r>
              <w:rPr>
                <w:rFonts w:hint="eastAsia" w:ascii="黑体" w:hAnsi="宋体" w:eastAsia="黑体" w:cs="黑体"/>
                <w:i w:val="0"/>
                <w:color w:val="auto"/>
                <w:kern w:val="0"/>
                <w:sz w:val="24"/>
                <w:szCs w:val="24"/>
                <w:lang w:val="en-US" w:eastAsia="zh-CN" w:bidi="ar"/>
              </w:rPr>
              <w:t>序号</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kern w:val="0"/>
                <w:sz w:val="24"/>
                <w:szCs w:val="24"/>
                <w:lang w:bidi="ar"/>
              </w:rPr>
            </w:pPr>
            <w:r>
              <w:rPr>
                <w:rFonts w:hint="eastAsia" w:ascii="黑体" w:hAnsi="宋体" w:eastAsia="黑体" w:cs="黑体"/>
                <w:i w:val="0"/>
                <w:color w:val="auto"/>
                <w:kern w:val="0"/>
                <w:sz w:val="24"/>
                <w:szCs w:val="24"/>
                <w:lang w:val="en-US" w:eastAsia="zh-CN" w:bidi="ar"/>
              </w:rPr>
              <w:t>市别</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kern w:val="0"/>
                <w:sz w:val="24"/>
                <w:szCs w:val="24"/>
                <w:lang w:bidi="ar"/>
              </w:rPr>
            </w:pPr>
            <w:r>
              <w:rPr>
                <w:rFonts w:hint="eastAsia" w:ascii="黑体" w:hAnsi="宋体" w:eastAsia="黑体" w:cs="黑体"/>
                <w:i w:val="0"/>
                <w:color w:val="auto"/>
                <w:kern w:val="0"/>
                <w:sz w:val="24"/>
                <w:szCs w:val="24"/>
                <w:lang w:val="en-US" w:eastAsia="zh-CN" w:bidi="ar"/>
              </w:rPr>
              <w:t>项目类别</w:t>
            </w:r>
          </w:p>
        </w:tc>
        <w:tc>
          <w:tcPr>
            <w:tcW w:w="3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kern w:val="0"/>
                <w:sz w:val="24"/>
                <w:szCs w:val="24"/>
                <w:highlight w:val="cyan"/>
                <w:lang w:bidi="ar"/>
              </w:rPr>
            </w:pPr>
            <w:r>
              <w:rPr>
                <w:rFonts w:hint="eastAsia" w:ascii="黑体" w:hAnsi="宋体" w:eastAsia="黑体" w:cs="黑体"/>
                <w:i w:val="0"/>
                <w:color w:val="auto"/>
                <w:kern w:val="0"/>
                <w:sz w:val="24"/>
                <w:szCs w:val="24"/>
                <w:highlight w:val="none"/>
                <w:u w:val="none"/>
                <w:lang w:val="en-US" w:eastAsia="zh-CN" w:bidi="ar"/>
              </w:rPr>
              <w:t>项目名称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kern w:val="0"/>
                <w:sz w:val="24"/>
                <w:szCs w:val="24"/>
                <w:highlight w:val="none"/>
                <w:u w:val="none"/>
                <w:lang w:val="en-US" w:eastAsia="zh-CN" w:bidi="ar"/>
              </w:rPr>
            </w:pPr>
            <w:r>
              <w:rPr>
                <w:rFonts w:hint="eastAsia" w:ascii="黑体" w:hAnsi="宋体" w:eastAsia="黑体" w:cs="黑体"/>
                <w:i w:val="0"/>
                <w:color w:val="auto"/>
                <w:kern w:val="0"/>
                <w:sz w:val="24"/>
                <w:szCs w:val="24"/>
                <w:highlight w:val="none"/>
                <w:lang w:val="en-US" w:eastAsia="zh-CN" w:bidi="ar"/>
              </w:rPr>
              <w:t>裁决结果</w:t>
            </w:r>
          </w:p>
        </w:tc>
        <w:tc>
          <w:tcPr>
            <w:tcW w:w="28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FF0000"/>
                <w:sz w:val="24"/>
                <w:szCs w:val="24"/>
              </w:rPr>
            </w:pPr>
            <w:r>
              <w:rPr>
                <w:rFonts w:hint="eastAsia" w:ascii="黑体" w:hAnsi="宋体" w:eastAsia="黑体" w:cs="黑体"/>
                <w:i w:val="0"/>
                <w:color w:val="auto"/>
                <w:kern w:val="0"/>
                <w:sz w:val="24"/>
                <w:szCs w:val="24"/>
                <w:lang w:val="en-US" w:eastAsia="zh-CN" w:bidi="ar"/>
              </w:rPr>
              <w:t>申请企业（单位）名称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sz w:val="24"/>
                <w:szCs w:val="24"/>
              </w:rPr>
            </w:pPr>
            <w:r>
              <w:rPr>
                <w:rFonts w:hint="eastAsia" w:ascii="黑体" w:hAnsi="宋体" w:eastAsia="黑体" w:cs="黑体"/>
                <w:i w:val="0"/>
                <w:color w:val="auto"/>
                <w:kern w:val="0"/>
                <w:sz w:val="24"/>
                <w:szCs w:val="24"/>
                <w:lang w:val="en-US" w:eastAsia="zh-CN" w:bidi="ar"/>
              </w:rPr>
              <w:t>发生金额</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kern w:val="0"/>
                <w:sz w:val="24"/>
                <w:szCs w:val="24"/>
                <w:lang w:val="en-US" w:eastAsia="zh-CN" w:bidi="ar"/>
              </w:rPr>
            </w:pPr>
            <w:r>
              <w:rPr>
                <w:rFonts w:hint="eastAsia" w:ascii="黑体" w:hAnsi="宋体" w:eastAsia="黑体" w:cs="黑体"/>
                <w:i w:val="0"/>
                <w:color w:val="auto"/>
                <w:kern w:val="0"/>
                <w:sz w:val="24"/>
                <w:szCs w:val="24"/>
                <w:lang w:val="en-US" w:eastAsia="zh-CN" w:bidi="ar"/>
              </w:rPr>
              <w:t>建议</w:t>
            </w:r>
          </w:p>
          <w:p>
            <w:pPr>
              <w:keepNext w:val="0"/>
              <w:keepLines w:val="0"/>
              <w:widowControl/>
              <w:suppressLineNumbers w:val="0"/>
              <w:spacing w:line="0" w:lineRule="atLeast"/>
              <w:jc w:val="center"/>
              <w:textAlignment w:val="center"/>
              <w:rPr>
                <w:rFonts w:hint="eastAsia" w:ascii="黑体" w:hAnsi="宋体" w:eastAsia="黑体" w:cs="黑体"/>
                <w:i w:val="0"/>
                <w:color w:val="auto"/>
                <w:sz w:val="24"/>
                <w:szCs w:val="24"/>
              </w:rPr>
            </w:pPr>
            <w:r>
              <w:rPr>
                <w:rFonts w:hint="eastAsia" w:ascii="黑体" w:hAnsi="宋体" w:eastAsia="黑体" w:cs="黑体"/>
                <w:i w:val="0"/>
                <w:color w:val="auto"/>
                <w:kern w:val="0"/>
                <w:sz w:val="24"/>
                <w:szCs w:val="24"/>
                <w:lang w:val="en-US" w:eastAsia="zh-CN" w:bidi="ar"/>
              </w:rPr>
              <w:t>支持金额</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0" w:lineRule="atLeast"/>
              <w:jc w:val="center"/>
              <w:textAlignment w:val="center"/>
              <w:rPr>
                <w:rFonts w:hint="eastAsia" w:ascii="黑体" w:hAnsi="宋体" w:eastAsia="黑体" w:cs="黑体"/>
                <w:i w:val="0"/>
                <w:color w:val="auto"/>
                <w:sz w:val="24"/>
                <w:szCs w:val="24"/>
                <w:lang w:eastAsia="zh-CN"/>
              </w:rPr>
            </w:pPr>
            <w:r>
              <w:rPr>
                <w:rFonts w:hint="eastAsia" w:ascii="黑体" w:hAnsi="宋体" w:eastAsia="黑体" w:cs="黑体"/>
                <w:i w:val="0"/>
                <w:color w:val="auto"/>
                <w:kern w:val="0"/>
                <w:sz w:val="24"/>
                <w:szCs w:val="24"/>
                <w:highlight w:val="none"/>
                <w:lang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645"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sz w:val="24"/>
                <w:szCs w:val="24"/>
              </w:rPr>
            </w:pPr>
            <w:r>
              <w:rPr>
                <w:rFonts w:hint="eastAsia" w:ascii="宋体" w:hAnsi="宋体" w:eastAsia="宋体" w:cs="宋体"/>
                <w:i w:val="0"/>
                <w:color w:val="auto"/>
                <w:kern w:val="0"/>
                <w:sz w:val="24"/>
                <w:szCs w:val="24"/>
                <w:lang w:val="en-US" w:eastAsia="zh-CN" w:bidi="ar"/>
              </w:rPr>
              <w:t>1</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sz w:val="24"/>
                <w:szCs w:val="24"/>
                <w:lang w:eastAsia="zh-CN"/>
              </w:rPr>
            </w:pPr>
          </w:p>
        </w:tc>
        <w:tc>
          <w:tcPr>
            <w:tcW w:w="20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lang w:eastAsia="zh-CN"/>
              </w:rPr>
            </w:pPr>
          </w:p>
        </w:tc>
        <w:tc>
          <w:tcPr>
            <w:tcW w:w="32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8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FF0000"/>
                <w:sz w:val="24"/>
                <w:szCs w:val="24"/>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96"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645"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sz w:val="24"/>
                <w:szCs w:val="24"/>
              </w:rPr>
            </w:pPr>
            <w:r>
              <w:rPr>
                <w:rFonts w:hint="eastAsia" w:ascii="宋体" w:hAnsi="宋体" w:eastAsia="宋体" w:cs="宋体"/>
                <w:i w:val="0"/>
                <w:color w:val="auto"/>
                <w:kern w:val="0"/>
                <w:sz w:val="24"/>
                <w:szCs w:val="24"/>
                <w:lang w:val="en-US" w:eastAsia="zh-CN" w:bidi="ar"/>
              </w:rPr>
              <w:t>2</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0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32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8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FF0000"/>
                <w:sz w:val="24"/>
                <w:szCs w:val="24"/>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96"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645"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sz w:val="24"/>
                <w:szCs w:val="24"/>
              </w:rPr>
            </w:pPr>
            <w:r>
              <w:rPr>
                <w:rFonts w:hint="eastAsia" w:ascii="宋体" w:hAnsi="宋体" w:eastAsia="宋体" w:cs="宋体"/>
                <w:i w:val="0"/>
                <w:color w:val="auto"/>
                <w:kern w:val="0"/>
                <w:sz w:val="24"/>
                <w:szCs w:val="24"/>
                <w:lang w:val="en-US" w:eastAsia="zh-CN" w:bidi="ar"/>
              </w:rPr>
              <w:t>3</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0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32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8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FF0000"/>
                <w:sz w:val="24"/>
                <w:szCs w:val="24"/>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96"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30" w:type="dxa"/>
          <w:trHeight w:val="645"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sz w:val="24"/>
                <w:szCs w:val="24"/>
              </w:rPr>
            </w:pPr>
            <w:r>
              <w:rPr>
                <w:rFonts w:hint="eastAsia" w:ascii="宋体" w:hAnsi="宋体" w:eastAsia="宋体" w:cs="宋体"/>
                <w:i w:val="0"/>
                <w:color w:val="auto"/>
                <w:kern w:val="0"/>
                <w:sz w:val="24"/>
                <w:szCs w:val="24"/>
                <w:lang w:val="en-US" w:eastAsia="zh-CN" w:bidi="ar"/>
              </w:rPr>
              <w:t>…</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0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32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28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FF0000"/>
                <w:sz w:val="24"/>
                <w:szCs w:val="24"/>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rPr>
            </w:pPr>
          </w:p>
        </w:tc>
        <w:tc>
          <w:tcPr>
            <w:tcW w:w="1296"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810" w:type="dxa"/>
            <w:noWrap w:val="0"/>
            <w:vAlign w:val="center"/>
          </w:tcPr>
          <w:p>
            <w:pPr>
              <w:keepNext w:val="0"/>
              <w:keepLines w:val="0"/>
              <w:widowControl/>
              <w:suppressLineNumbers w:val="0"/>
              <w:jc w:val="both"/>
              <w:textAlignment w:val="center"/>
              <w:rPr>
                <w:rFonts w:hint="eastAsia" w:ascii="宋体" w:hAnsi="宋体" w:eastAsia="宋体" w:cs="宋体"/>
                <w:i w:val="0"/>
                <w:color w:val="auto"/>
                <w:sz w:val="22"/>
                <w:szCs w:val="22"/>
              </w:rPr>
            </w:pPr>
            <w:r>
              <w:rPr>
                <w:rFonts w:hint="eastAsia" w:ascii="宋体" w:hAnsi="宋体" w:eastAsia="宋体" w:cs="宋体"/>
                <w:i w:val="0"/>
                <w:color w:val="auto"/>
                <w:kern w:val="0"/>
                <w:sz w:val="22"/>
                <w:szCs w:val="22"/>
                <w:lang w:val="en-US" w:eastAsia="zh-CN" w:bidi="ar"/>
              </w:rPr>
              <w:t>填表人：</w:t>
            </w:r>
          </w:p>
        </w:tc>
        <w:tc>
          <w:tcPr>
            <w:tcW w:w="6516" w:type="dxa"/>
            <w:gridSpan w:val="3"/>
            <w:noWrap w:val="0"/>
            <w:vAlign w:val="center"/>
          </w:tcPr>
          <w:p>
            <w:pPr>
              <w:rPr>
                <w:rFonts w:hint="eastAsia" w:ascii="宋体" w:hAnsi="宋体" w:eastAsia="宋体" w:cs="宋体"/>
                <w:i w:val="0"/>
                <w:color w:val="auto"/>
                <w:sz w:val="22"/>
                <w:szCs w:val="22"/>
              </w:rPr>
            </w:pPr>
          </w:p>
        </w:tc>
        <w:tc>
          <w:tcPr>
            <w:tcW w:w="1614" w:type="dxa"/>
            <w:gridSpan w:val="2"/>
            <w:noWrap w:val="0"/>
            <w:vAlign w:val="center"/>
          </w:tcPr>
          <w:p>
            <w:pPr>
              <w:rPr>
                <w:rFonts w:hint="eastAsia" w:ascii="宋体" w:hAnsi="宋体" w:eastAsia="宋体" w:cs="宋体"/>
                <w:i w:val="0"/>
                <w:color w:val="auto"/>
                <w:sz w:val="22"/>
                <w:szCs w:val="22"/>
              </w:rPr>
            </w:pPr>
            <w:r>
              <w:rPr>
                <w:rFonts w:hint="eastAsia" w:ascii="宋体" w:hAnsi="宋体" w:eastAsia="宋体" w:cs="宋体"/>
                <w:i w:val="0"/>
                <w:color w:val="auto"/>
                <w:kern w:val="0"/>
                <w:sz w:val="22"/>
                <w:szCs w:val="22"/>
                <w:lang w:val="en-US" w:eastAsia="zh-CN" w:bidi="ar"/>
              </w:rPr>
              <w:t>联系电话：</w:t>
            </w:r>
          </w:p>
        </w:tc>
        <w:tc>
          <w:tcPr>
            <w:tcW w:w="6287" w:type="dxa"/>
            <w:gridSpan w:val="5"/>
            <w:noWrap w:val="0"/>
            <w:vAlign w:val="bottom"/>
          </w:tcPr>
          <w:p>
            <w:pPr>
              <w:rPr>
                <w:rFonts w:hint="eastAsia" w:ascii="宋体" w:hAnsi="宋体" w:eastAsia="宋体" w:cs="宋体"/>
                <w:i w:val="0"/>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15227"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备注：</w:t>
            </w:r>
            <w:r>
              <w:rPr>
                <w:rFonts w:hint="eastAsia" w:ascii="仿宋_GB2312" w:hAnsi="仿宋_GB2312" w:eastAsia="仿宋_GB2312" w:cs="仿宋_GB2312"/>
                <w:color w:val="auto"/>
                <w:kern w:val="0"/>
                <w:sz w:val="21"/>
                <w:szCs w:val="21"/>
              </w:rPr>
              <w:t>1.</w:t>
            </w:r>
            <w:r>
              <w:rPr>
                <w:rFonts w:hint="eastAsia" w:ascii="仿宋_GB2312" w:hAnsi="仿宋_GB2312" w:eastAsia="仿宋_GB2312" w:cs="仿宋_GB2312"/>
                <w:color w:val="auto"/>
                <w:kern w:val="0"/>
                <w:sz w:val="21"/>
                <w:szCs w:val="21"/>
                <w:lang w:eastAsia="zh-CN"/>
              </w:rPr>
              <w:t>项目</w:t>
            </w:r>
            <w:r>
              <w:rPr>
                <w:rFonts w:hint="eastAsia" w:ascii="仿宋_GB2312" w:hAnsi="仿宋_GB2312" w:eastAsia="仿宋_GB2312" w:cs="仿宋_GB2312"/>
                <w:color w:val="auto"/>
                <w:kern w:val="0"/>
                <w:sz w:val="21"/>
                <w:szCs w:val="21"/>
                <w:lang w:val="en-US" w:eastAsia="zh-CN"/>
              </w:rPr>
              <w:t>类别按《申报指南》三、支持类别及支持标准内容填写，包括：研究</w:t>
            </w:r>
            <w:r>
              <w:rPr>
                <w:rFonts w:hint="eastAsia" w:ascii="仿宋_GB2312" w:hAnsi="仿宋_GB2312" w:eastAsia="仿宋_GB2312" w:cs="仿宋_GB2312"/>
                <w:color w:val="auto"/>
                <w:kern w:val="0"/>
                <w:sz w:val="21"/>
                <w:szCs w:val="21"/>
              </w:rPr>
              <w:t>应诉反倾销或反补贴调查</w:t>
            </w:r>
            <w:r>
              <w:rPr>
                <w:rFonts w:hint="eastAsia" w:ascii="仿宋_GB2312" w:hAnsi="仿宋_GB2312" w:eastAsia="仿宋_GB2312" w:cs="仿宋_GB2312"/>
                <w:color w:val="auto"/>
                <w:kern w:val="0"/>
                <w:sz w:val="21"/>
                <w:szCs w:val="21"/>
                <w:lang w:eastAsia="zh-CN"/>
              </w:rPr>
              <w:t>的报告、</w:t>
            </w:r>
            <w:r>
              <w:rPr>
                <w:rFonts w:hint="eastAsia" w:ascii="仿宋_GB2312" w:hAnsi="仿宋_GB2312" w:eastAsia="仿宋_GB2312" w:cs="仿宋_GB2312"/>
                <w:color w:val="auto"/>
                <w:kern w:val="0"/>
                <w:sz w:val="21"/>
                <w:szCs w:val="21"/>
                <w:lang w:val="en-US" w:eastAsia="zh-CN"/>
              </w:rPr>
              <w:t>研究</w:t>
            </w:r>
            <w:r>
              <w:rPr>
                <w:rFonts w:hint="eastAsia" w:ascii="仿宋_GB2312" w:hAnsi="仿宋_GB2312" w:eastAsia="仿宋_GB2312" w:cs="仿宋_GB2312"/>
                <w:color w:val="auto"/>
                <w:kern w:val="0"/>
                <w:sz w:val="21"/>
                <w:szCs w:val="21"/>
              </w:rPr>
              <w:t>应诉反倾销或反补贴调查</w:t>
            </w:r>
            <w:r>
              <w:rPr>
                <w:rFonts w:hint="eastAsia" w:ascii="仿宋_GB2312" w:hAnsi="仿宋_GB2312" w:eastAsia="仿宋_GB2312" w:cs="仿宋_GB2312"/>
                <w:color w:val="auto"/>
                <w:kern w:val="0"/>
                <w:sz w:val="21"/>
                <w:szCs w:val="21"/>
                <w:lang w:eastAsia="zh-CN"/>
              </w:rPr>
              <w:t>的报告（含行业无</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840" w:firstLineChars="400"/>
              <w:jc w:val="both"/>
              <w:textAlignment w:val="auto"/>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损害抗辩）、</w:t>
            </w:r>
            <w:r>
              <w:rPr>
                <w:rFonts w:hint="eastAsia" w:ascii="仿宋_GB2312" w:hAnsi="仿宋_GB2312" w:eastAsia="仿宋_GB2312" w:cs="仿宋_GB2312"/>
                <w:color w:val="auto"/>
                <w:kern w:val="0"/>
                <w:szCs w:val="21"/>
              </w:rPr>
              <w:t>研究应诉保障措施的报告</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rPr>
              <w:t>研究知识产权争端应对的报告</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rPr>
              <w:t>研究发起贸易救济调查的报告</w:t>
            </w:r>
            <w:r>
              <w:rPr>
                <w:rFonts w:hint="eastAsia" w:ascii="仿宋_GB2312" w:hAnsi="仿宋_GB2312" w:eastAsia="仿宋_GB2312" w:cs="仿宋_GB2312"/>
                <w:color w:val="auto"/>
                <w:kern w:val="0"/>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630" w:leftChars="0" w:right="0" w:rightChars="0" w:firstLine="0" w:firstLineChars="0"/>
              <w:jc w:val="both"/>
              <w:textAlignment w:val="auto"/>
              <w:outlineLvl w:val="9"/>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w:t>
            </w:r>
            <w:r>
              <w:rPr>
                <w:rFonts w:hint="eastAsia" w:ascii="仿宋_GB2312" w:hAnsi="仿宋_GB2312" w:eastAsia="仿宋_GB2312" w:cs="仿宋_GB2312"/>
                <w:color w:val="auto"/>
                <w:kern w:val="0"/>
                <w:sz w:val="21"/>
                <w:szCs w:val="21"/>
              </w:rPr>
              <w:t>项目</w:t>
            </w:r>
            <w:r>
              <w:rPr>
                <w:rFonts w:hint="eastAsia" w:ascii="仿宋_GB2312" w:hAnsi="仿宋_GB2312" w:eastAsia="仿宋_GB2312" w:cs="仿宋_GB2312"/>
                <w:color w:val="auto"/>
                <w:kern w:val="0"/>
                <w:sz w:val="21"/>
                <w:szCs w:val="21"/>
                <w:lang w:eastAsia="zh-CN"/>
              </w:rPr>
              <w:t>名称：应对</w:t>
            </w:r>
            <w:r>
              <w:rPr>
                <w:rFonts w:hint="eastAsia" w:ascii="仿宋_GB2312" w:hAnsi="仿宋_GB2312" w:eastAsia="仿宋_GB2312" w:cs="仿宋_GB2312"/>
                <w:color w:val="auto"/>
                <w:kern w:val="0"/>
                <w:sz w:val="21"/>
                <w:szCs w:val="21"/>
                <w:lang w:val="en-US" w:eastAsia="zh-CN"/>
              </w:rPr>
              <w:t>*</w:t>
            </w:r>
            <w:r>
              <w:rPr>
                <w:rFonts w:hint="eastAsia" w:ascii="仿宋_GB2312" w:hAnsi="仿宋_GB2312" w:eastAsia="仿宋_GB2312" w:cs="仿宋_GB2312"/>
                <w:color w:val="auto"/>
                <w:kern w:val="0"/>
                <w:sz w:val="21"/>
                <w:szCs w:val="21"/>
                <w:lang w:eastAsia="zh-CN"/>
              </w:rPr>
              <w:t>国</w:t>
            </w:r>
            <w:r>
              <w:rPr>
                <w:rFonts w:hint="eastAsia" w:ascii="仿宋_GB2312" w:hAnsi="仿宋_GB2312" w:eastAsia="仿宋_GB2312" w:cs="仿宋_GB2312"/>
                <w:color w:val="auto"/>
                <w:kern w:val="0"/>
                <w:sz w:val="21"/>
                <w:szCs w:val="21"/>
                <w:lang w:val="en-US" w:eastAsia="zh-CN"/>
              </w:rPr>
              <w:t>**</w:t>
            </w:r>
            <w:r>
              <w:rPr>
                <w:rFonts w:hint="eastAsia" w:ascii="仿宋_GB2312" w:hAnsi="仿宋_GB2312" w:eastAsia="仿宋_GB2312" w:cs="仿宋_GB2312"/>
                <w:color w:val="auto"/>
                <w:kern w:val="0"/>
                <w:sz w:val="21"/>
                <w:szCs w:val="21"/>
                <w:lang w:eastAsia="zh-CN"/>
              </w:rPr>
              <w:t>调查（单独应诉）、应对</w:t>
            </w:r>
            <w:r>
              <w:rPr>
                <w:rFonts w:hint="eastAsia" w:ascii="仿宋_GB2312" w:hAnsi="仿宋_GB2312" w:eastAsia="仿宋_GB2312" w:cs="仿宋_GB2312"/>
                <w:color w:val="auto"/>
                <w:kern w:val="0"/>
                <w:sz w:val="21"/>
                <w:szCs w:val="21"/>
                <w:lang w:val="en-US" w:eastAsia="zh-CN"/>
              </w:rPr>
              <w:t>*国**调查（行业无损害抗辩）、</w:t>
            </w:r>
            <w:r>
              <w:rPr>
                <w:rFonts w:hint="eastAsia" w:ascii="仿宋_GB2312" w:hAnsi="仿宋_GB2312" w:eastAsia="仿宋_GB2312" w:cs="仿宋_GB2312"/>
                <w:color w:val="auto"/>
                <w:kern w:val="0"/>
                <w:sz w:val="21"/>
                <w:szCs w:val="21"/>
                <w:u w:val="none"/>
                <w:lang w:val="en-US" w:eastAsia="zh-CN"/>
              </w:rPr>
              <w:t>应对*国**(产品)知识产权调查、申请对*国**（产品）调查等</w:t>
            </w:r>
            <w:r>
              <w:rPr>
                <w:rFonts w:hint="eastAsia" w:ascii="仿宋_GB2312" w:hAnsi="仿宋_GB2312" w:eastAsia="仿宋_GB2312" w:cs="仿宋_GB2312"/>
                <w:color w:val="auto"/>
                <w:kern w:val="0"/>
                <w:sz w:val="21"/>
                <w:szCs w:val="21"/>
                <w:u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240" w:lineRule="exact"/>
              <w:ind w:left="0" w:leftChars="0" w:right="0" w:rightChars="0" w:firstLine="630" w:firstLineChars="300"/>
              <w:jc w:val="both"/>
              <w:textAlignment w:val="auto"/>
              <w:outlineLvl w:val="9"/>
              <w:rPr>
                <w:rFonts w:hint="eastAsia" w:ascii="仿宋_GB2312" w:hAnsi="仿宋_GB2312" w:eastAsia="仿宋_GB2312" w:cs="仿宋_GB2312"/>
                <w:color w:val="auto"/>
                <w:kern w:val="0"/>
                <w:sz w:val="21"/>
                <w:szCs w:val="21"/>
                <w:u w:val="none"/>
              </w:rPr>
            </w:pPr>
          </w:p>
          <w:p>
            <w:pPr>
              <w:tabs>
                <w:tab w:val="left" w:pos="1245"/>
              </w:tabs>
              <w:rPr>
                <w:rFonts w:hint="eastAsia" w:ascii="宋体" w:hAnsi="宋体" w:eastAsia="宋体" w:cs="宋体"/>
                <w:i w:val="0"/>
                <w:color w:val="auto"/>
                <w:sz w:val="22"/>
                <w:szCs w:val="22"/>
                <w:lang w:eastAsia="zh-CN"/>
              </w:rPr>
            </w:pPr>
          </w:p>
        </w:tc>
      </w:tr>
    </w:tbl>
    <w:p>
      <w:pPr>
        <w:rPr>
          <w:color w:val="auto"/>
        </w:rPr>
      </w:pPr>
    </w:p>
    <w:p/>
    <w:p/>
    <w:p>
      <w:bookmarkStart w:id="0" w:name="_GoBack"/>
      <w:bookmarkEnd w:id="0"/>
    </w:p>
    <w:sectPr>
      <w:pgSz w:w="16838" w:h="11905" w:orient="landscape"/>
      <w:pgMar w:top="1599" w:right="1440" w:bottom="1485" w:left="1440"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- 37 -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VJ1dY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5VxZdmGCyZTG1rOVhv0w8dz79ow0&#10;e9wHRh2uPyXmg0O58+rMRpyN/WwcQ9SHruxWrgXh7TFhb6XlXGGERarZwUEW0tPS5U352y9Zjz/a&#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R4VJ1dYBAACwAwAADgAAAAAAAAABACAAAAAe&#10;AQAAZHJzL2Uyb0RvYy54bWxQSwUGAAAAAAYABgBZAQAAZgUAAAAA&#10;">
              <v:path/>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- 37 -</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- 37 -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M4J7NYBAACw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y7my7MIEkymNrWcrDfth4rn37Rlp&#10;9rgPjDpcf0rMe4dy59WZjTgb+9k4hqgPXdmtXAvCm2PC3krLucIIi1Szg4MspKely5vyt1+yHn+0&#10;7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kM4J7NYBAACwAwAADgAAAAAAAAABACAAAAAe&#10;AQAAZHJzL2Uyb0RvYy54bWxQSwUGAAAAAAYABgBZAQAAZgUAAAAA&#10;">
              <v:path/>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- 37 -</w:t>
                    </w:r>
                    <w:r>
                      <w:rPr>
                        <w:rFonts w:hint="eastAsia"/>
                        <w:sz w:val="1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4"/>
        <w:snapToGrid w:val="0"/>
        <w:rPr>
          <w:rFonts w:hint="eastAsia"/>
          <w:lang w:eastAsia="zh-CN"/>
        </w:rPr>
      </w:pPr>
      <w:r>
        <w:rPr>
          <w:rStyle w:val="7"/>
        </w:rPr>
        <w:t>*</w:t>
      </w:r>
      <w:r>
        <w:t xml:space="preserve"> </w:t>
      </w:r>
      <w:r>
        <w:rPr>
          <w:rFonts w:hint="eastAsia"/>
          <w:lang w:eastAsia="zh-CN"/>
        </w:rPr>
        <w:t>有关数据和信息仅用于我省贸易摩擦应对研究，将严格进行数据和信息的保密。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FFA597"/>
    <w:multiLevelType w:val="singleLevel"/>
    <w:tmpl w:val="A3FFA597"/>
    <w:lvl w:ilvl="0" w:tentative="0">
      <w:start w:val="5"/>
      <w:numFmt w:val="chineseCounting"/>
      <w:suff w:val="nothing"/>
      <w:lvlText w:val="%1、"/>
      <w:lvlJc w:val="left"/>
      <w:rPr>
        <w:rFonts w:hint="eastAsia"/>
      </w:rPr>
    </w:lvl>
  </w:abstractNum>
  <w:abstractNum w:abstractNumId="1">
    <w:nsid w:val="DF3794C0"/>
    <w:multiLevelType w:val="singleLevel"/>
    <w:tmpl w:val="DF3794C0"/>
    <w:lvl w:ilvl="0" w:tentative="0">
      <w:start w:val="1"/>
      <w:numFmt w:val="chineseCounting"/>
      <w:suff w:val="nothing"/>
      <w:lvlText w:val="第%1，"/>
      <w:lvlJc w:val="left"/>
      <w:rPr>
        <w:rFonts w:hint="eastAsia"/>
      </w:rPr>
    </w:lvl>
  </w:abstractNum>
  <w:abstractNum w:abstractNumId="2">
    <w:nsid w:val="ECBEF293"/>
    <w:multiLevelType w:val="singleLevel"/>
    <w:tmpl w:val="ECBEF293"/>
    <w:lvl w:ilvl="0" w:tentative="0">
      <w:start w:val="7"/>
      <w:numFmt w:val="chineseCounting"/>
      <w:suff w:val="nothing"/>
      <w:lvlText w:val="%1、"/>
      <w:lvlJc w:val="left"/>
      <w:rPr>
        <w:rFonts w:hint="eastAsia"/>
      </w:rPr>
    </w:lvl>
  </w:abstractNum>
  <w:abstractNum w:abstractNumId="3">
    <w:nsid w:val="00000005"/>
    <w:multiLevelType w:val="singleLevel"/>
    <w:tmpl w:val="00000005"/>
    <w:lvl w:ilvl="0" w:tentative="0">
      <w:start w:val="1"/>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mMDA0MGE5NWQ2YzNkYWIyYzczNmNhYzlkZTMyMTkifQ=="/>
  </w:docVars>
  <w:rsids>
    <w:rsidRoot w:val="41FB293B"/>
    <w:rsid w:val="41FB2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2"/>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4">
    <w:name w:val="footnote text"/>
    <w:basedOn w:val="1"/>
    <w:qFormat/>
    <w:uiPriority w:val="0"/>
    <w:pPr>
      <w:snapToGrid w:val="0"/>
      <w:jc w:val="left"/>
    </w:pPr>
    <w:rPr>
      <w:sz w:val="18"/>
    </w:rPr>
  </w:style>
  <w:style w:type="character" w:styleId="7">
    <w:name w:val="footnote reference"/>
    <w:basedOn w:val="6"/>
    <w:qFormat/>
    <w:uiPriority w:val="0"/>
    <w:rPr>
      <w:vertAlign w:val="superscript"/>
    </w:rPr>
  </w:style>
  <w:style w:type="paragraph" w:customStyle="1" w:styleId="8">
    <w:name w:val="p0"/>
    <w:basedOn w:val="1"/>
    <w:qFormat/>
    <w:uiPriority w:val="0"/>
    <w:pPr>
      <w:widowControl/>
    </w:pPr>
    <w:rPr>
      <w:kern w:val="0"/>
      <w:szCs w:val="21"/>
    </w:rPr>
  </w:style>
  <w:style w:type="character" w:customStyle="1" w:styleId="9">
    <w:name w:val="font51"/>
    <w:basedOn w:val="6"/>
    <w:qFormat/>
    <w:uiPriority w:val="0"/>
    <w:rPr>
      <w:rFonts w:hint="default" w:ascii="华文中宋" w:hAnsi="华文中宋" w:eastAsia="华文中宋" w:cs="华文中宋"/>
      <w:b/>
      <w:color w:val="000000"/>
      <w:sz w:val="36"/>
      <w:szCs w:val="36"/>
      <w:u w:val="single"/>
    </w:rPr>
  </w:style>
  <w:style w:type="character" w:customStyle="1" w:styleId="10">
    <w:name w:val="font61"/>
    <w:basedOn w:val="6"/>
    <w:qFormat/>
    <w:uiPriority w:val="0"/>
    <w:rPr>
      <w:rFonts w:hint="default" w:ascii="华文中宋" w:hAnsi="华文中宋" w:eastAsia="华文中宋" w:cs="华文中宋"/>
      <w:b/>
      <w:color w:val="000000"/>
      <w:sz w:val="36"/>
      <w:szCs w:val="3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2023-02-01T02:13:00Z</dcterms:created>
  <dc:creator>周伟超</dc:creator>
  <cp:lastModifiedBy>周伟超</cp:lastModifiedBy>
  <dcterms:modified xsi:type="dcterms:W3CDTF">2023-02-01T02:13:44Z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0DB95DD14CE54B8897FA7392A4880EF9</vt:lpwstr>
  </property>
</Properties>
</file>